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809E2" w14:textId="6AFF08CC" w:rsidR="008B73D5" w:rsidRDefault="00BC3681">
      <w:r>
        <w:t xml:space="preserve">                      </w:t>
      </w:r>
    </w:p>
    <w:p w14:paraId="601EC4CE" w14:textId="670E42A6" w:rsidR="00616514" w:rsidRDefault="00616514"/>
    <w:p w14:paraId="291FCA79" w14:textId="43A75A93" w:rsidR="00616514" w:rsidRDefault="00616514"/>
    <w:p w14:paraId="4F0AC50D" w14:textId="40C80BAC" w:rsidR="00014A93" w:rsidRDefault="00833D0A" w:rsidP="00616514">
      <w:pPr>
        <w:jc w:val="center"/>
        <w:rPr>
          <w:rFonts w:ascii="Arial" w:hAnsi="Arial" w:cs="Arial"/>
          <w:b/>
          <w:bCs/>
          <w:sz w:val="40"/>
          <w:szCs w:val="40"/>
        </w:rPr>
      </w:pPr>
      <w:r>
        <w:rPr>
          <w:rFonts w:ascii="Arial" w:hAnsi="Arial" w:cs="Arial"/>
          <w:b/>
          <w:bCs/>
          <w:sz w:val="40"/>
          <w:szCs w:val="40"/>
        </w:rPr>
        <w:t>Apuntes de</w:t>
      </w:r>
      <w:r w:rsidR="00616514" w:rsidRPr="00566D5C">
        <w:rPr>
          <w:rFonts w:ascii="Arial" w:hAnsi="Arial" w:cs="Arial"/>
          <w:b/>
          <w:bCs/>
          <w:sz w:val="40"/>
          <w:szCs w:val="40"/>
        </w:rPr>
        <w:t xml:space="preserve"> </w:t>
      </w:r>
      <w:r w:rsidR="00B03A9A">
        <w:rPr>
          <w:rFonts w:ascii="Arial" w:hAnsi="Arial" w:cs="Arial"/>
          <w:b/>
          <w:bCs/>
          <w:sz w:val="40"/>
          <w:szCs w:val="40"/>
        </w:rPr>
        <w:t>Mercadotecnia de Servicios</w:t>
      </w:r>
    </w:p>
    <w:p w14:paraId="064A9259" w14:textId="73F1BD44" w:rsidR="00616514" w:rsidRPr="00014A93" w:rsidRDefault="00616514" w:rsidP="00616514">
      <w:pPr>
        <w:jc w:val="center"/>
        <w:rPr>
          <w:rFonts w:ascii="Arial" w:hAnsi="Arial" w:cs="Arial"/>
          <w:sz w:val="24"/>
          <w:szCs w:val="24"/>
        </w:rPr>
      </w:pPr>
    </w:p>
    <w:p w14:paraId="07E4AA6D" w14:textId="15410CFB" w:rsidR="00616514" w:rsidRDefault="00616514" w:rsidP="00616514">
      <w:pPr>
        <w:jc w:val="center"/>
        <w:rPr>
          <w:rFonts w:ascii="Arial" w:hAnsi="Arial" w:cs="Arial"/>
          <w:sz w:val="28"/>
          <w:szCs w:val="28"/>
        </w:rPr>
      </w:pPr>
    </w:p>
    <w:p w14:paraId="7B9BC336" w14:textId="77777777" w:rsidR="00682A58" w:rsidRDefault="00682A58" w:rsidP="00616514">
      <w:pPr>
        <w:jc w:val="center"/>
        <w:rPr>
          <w:rFonts w:ascii="Arial" w:hAnsi="Arial" w:cs="Arial"/>
          <w:sz w:val="28"/>
          <w:szCs w:val="28"/>
        </w:rPr>
      </w:pPr>
    </w:p>
    <w:p w14:paraId="05877AF9" w14:textId="7B6009E2" w:rsidR="00B642AD" w:rsidRPr="00682A58" w:rsidRDefault="00B642AD" w:rsidP="00616514">
      <w:pPr>
        <w:jc w:val="center"/>
        <w:rPr>
          <w:rFonts w:ascii="Arial" w:hAnsi="Arial" w:cs="Arial"/>
          <w:b/>
          <w:bCs/>
          <w:sz w:val="28"/>
          <w:szCs w:val="28"/>
        </w:rPr>
      </w:pPr>
      <w:r w:rsidRPr="00682A58">
        <w:rPr>
          <w:rFonts w:ascii="Arial" w:hAnsi="Arial" w:cs="Arial"/>
          <w:b/>
          <w:bCs/>
          <w:sz w:val="28"/>
          <w:szCs w:val="28"/>
        </w:rPr>
        <w:t>Presenta:</w:t>
      </w:r>
    </w:p>
    <w:p w14:paraId="4E710E95" w14:textId="071657D6" w:rsidR="00B642AD" w:rsidRDefault="00B03A9A" w:rsidP="00616514">
      <w:pPr>
        <w:jc w:val="center"/>
        <w:rPr>
          <w:rFonts w:ascii="Arial" w:hAnsi="Arial" w:cs="Arial"/>
          <w:sz w:val="28"/>
          <w:szCs w:val="28"/>
        </w:rPr>
      </w:pPr>
      <w:r>
        <w:rPr>
          <w:rFonts w:ascii="Arial" w:hAnsi="Arial" w:cs="Arial"/>
          <w:sz w:val="28"/>
          <w:szCs w:val="28"/>
        </w:rPr>
        <w:t>Ximena Maldonado de la Cruz</w:t>
      </w:r>
    </w:p>
    <w:p w14:paraId="2BE71B8D" w14:textId="5C18B3A8" w:rsidR="00AA3833" w:rsidRDefault="00AA3833" w:rsidP="00616514">
      <w:pPr>
        <w:jc w:val="center"/>
        <w:rPr>
          <w:rFonts w:ascii="Arial" w:hAnsi="Arial" w:cs="Arial"/>
          <w:sz w:val="28"/>
          <w:szCs w:val="28"/>
        </w:rPr>
      </w:pPr>
    </w:p>
    <w:p w14:paraId="3AB12027" w14:textId="382B5621" w:rsidR="00AA3833" w:rsidRDefault="00AA3833" w:rsidP="00616514">
      <w:pPr>
        <w:jc w:val="center"/>
        <w:rPr>
          <w:rFonts w:ascii="Arial" w:hAnsi="Arial" w:cs="Arial"/>
          <w:sz w:val="28"/>
          <w:szCs w:val="28"/>
        </w:rPr>
      </w:pPr>
    </w:p>
    <w:p w14:paraId="71940148" w14:textId="56022A6E" w:rsidR="00AA3833" w:rsidRDefault="00AA3833" w:rsidP="00616514">
      <w:pPr>
        <w:jc w:val="center"/>
        <w:rPr>
          <w:rFonts w:ascii="Arial" w:hAnsi="Arial" w:cs="Arial"/>
          <w:sz w:val="28"/>
          <w:szCs w:val="28"/>
        </w:rPr>
      </w:pPr>
    </w:p>
    <w:p w14:paraId="2C22A0CB" w14:textId="2768F31E" w:rsidR="00AA3833" w:rsidRDefault="00AA3833" w:rsidP="00B03A9A">
      <w:pPr>
        <w:jc w:val="center"/>
        <w:rPr>
          <w:rFonts w:ascii="Arial" w:hAnsi="Arial" w:cs="Arial"/>
          <w:sz w:val="28"/>
          <w:szCs w:val="28"/>
        </w:rPr>
      </w:pPr>
      <w:r>
        <w:rPr>
          <w:rFonts w:ascii="Arial" w:hAnsi="Arial" w:cs="Arial"/>
          <w:b/>
          <w:bCs/>
          <w:sz w:val="28"/>
          <w:szCs w:val="28"/>
        </w:rPr>
        <w:t xml:space="preserve">Asignatura </w:t>
      </w:r>
      <w:r w:rsidRPr="00682A58">
        <w:rPr>
          <w:rFonts w:ascii="Arial" w:hAnsi="Arial" w:cs="Arial"/>
          <w:b/>
          <w:bCs/>
          <w:sz w:val="28"/>
          <w:szCs w:val="28"/>
        </w:rPr>
        <w:t>Impartid</w:t>
      </w:r>
      <w:r>
        <w:rPr>
          <w:rFonts w:ascii="Arial" w:hAnsi="Arial" w:cs="Arial"/>
          <w:b/>
          <w:bCs/>
          <w:sz w:val="28"/>
          <w:szCs w:val="28"/>
        </w:rPr>
        <w:t>a</w:t>
      </w:r>
      <w:r w:rsidRPr="00682A58">
        <w:rPr>
          <w:rFonts w:ascii="Arial" w:hAnsi="Arial" w:cs="Arial"/>
          <w:b/>
          <w:bCs/>
          <w:sz w:val="28"/>
          <w:szCs w:val="28"/>
        </w:rPr>
        <w:t xml:space="preserve"> por</w:t>
      </w:r>
      <w:r>
        <w:rPr>
          <w:rFonts w:ascii="Arial" w:hAnsi="Arial" w:cs="Arial"/>
          <w:sz w:val="28"/>
          <w:szCs w:val="28"/>
        </w:rPr>
        <w:t xml:space="preserve">: </w:t>
      </w:r>
    </w:p>
    <w:p w14:paraId="1A13B6B9" w14:textId="1119D765" w:rsidR="00B03A9A" w:rsidRDefault="00B03A9A" w:rsidP="00B03A9A">
      <w:pPr>
        <w:jc w:val="center"/>
        <w:rPr>
          <w:rFonts w:ascii="Arial" w:hAnsi="Arial" w:cs="Arial"/>
          <w:sz w:val="28"/>
          <w:szCs w:val="28"/>
        </w:rPr>
      </w:pPr>
      <w:r>
        <w:rPr>
          <w:rFonts w:ascii="Arial" w:hAnsi="Arial" w:cs="Arial"/>
          <w:sz w:val="28"/>
          <w:szCs w:val="28"/>
        </w:rPr>
        <w:t>Dra. Minerva Camacho javier</w:t>
      </w:r>
    </w:p>
    <w:p w14:paraId="366E0334" w14:textId="7B23CFCD" w:rsidR="00B642AD" w:rsidRDefault="00B642AD" w:rsidP="00616514">
      <w:pPr>
        <w:jc w:val="center"/>
        <w:rPr>
          <w:rFonts w:ascii="Arial" w:hAnsi="Arial" w:cs="Arial"/>
          <w:sz w:val="28"/>
          <w:szCs w:val="28"/>
        </w:rPr>
      </w:pPr>
    </w:p>
    <w:p w14:paraId="27E7E7A1" w14:textId="06ADE495" w:rsidR="00682A58" w:rsidRDefault="00682A58" w:rsidP="00616514">
      <w:pPr>
        <w:jc w:val="center"/>
        <w:rPr>
          <w:rFonts w:ascii="Arial" w:hAnsi="Arial" w:cs="Arial"/>
          <w:sz w:val="28"/>
          <w:szCs w:val="28"/>
        </w:rPr>
      </w:pPr>
    </w:p>
    <w:p w14:paraId="5826DA7B" w14:textId="77777777" w:rsidR="00682A58" w:rsidRDefault="00682A58" w:rsidP="00616514">
      <w:pPr>
        <w:jc w:val="center"/>
        <w:rPr>
          <w:rFonts w:ascii="Arial" w:hAnsi="Arial" w:cs="Arial"/>
          <w:sz w:val="28"/>
          <w:szCs w:val="28"/>
        </w:rPr>
      </w:pPr>
    </w:p>
    <w:p w14:paraId="54A6FC49" w14:textId="10B24878" w:rsidR="00B642AD" w:rsidRDefault="00B642AD" w:rsidP="00B642AD">
      <w:pPr>
        <w:jc w:val="center"/>
        <w:rPr>
          <w:rFonts w:ascii="Arial" w:hAnsi="Arial" w:cs="Arial"/>
          <w:sz w:val="28"/>
          <w:szCs w:val="28"/>
        </w:rPr>
      </w:pPr>
      <w:r>
        <w:rPr>
          <w:rFonts w:ascii="Arial" w:hAnsi="Arial" w:cs="Arial"/>
          <w:sz w:val="28"/>
          <w:szCs w:val="28"/>
        </w:rPr>
        <w:t xml:space="preserve">Ciclo </w:t>
      </w:r>
      <w:r w:rsidR="00B03A9A">
        <w:rPr>
          <w:rFonts w:ascii="Arial" w:hAnsi="Arial" w:cs="Arial"/>
          <w:sz w:val="28"/>
          <w:szCs w:val="28"/>
        </w:rPr>
        <w:t>Agosto/2025-Diciembre/2025</w:t>
      </w:r>
    </w:p>
    <w:p w14:paraId="29E4C494" w14:textId="382ADFEF" w:rsidR="001B4512" w:rsidRDefault="001B4512" w:rsidP="00B642AD">
      <w:pPr>
        <w:jc w:val="center"/>
        <w:rPr>
          <w:rFonts w:ascii="Arial" w:hAnsi="Arial" w:cs="Arial"/>
          <w:sz w:val="28"/>
          <w:szCs w:val="28"/>
        </w:rPr>
      </w:pPr>
    </w:p>
    <w:p w14:paraId="5FDDB4A1" w14:textId="57677867" w:rsidR="001B4512" w:rsidRDefault="001B4512" w:rsidP="00B642AD">
      <w:pPr>
        <w:jc w:val="center"/>
        <w:rPr>
          <w:rFonts w:ascii="Arial" w:hAnsi="Arial" w:cs="Arial"/>
          <w:sz w:val="28"/>
          <w:szCs w:val="28"/>
        </w:rPr>
      </w:pPr>
    </w:p>
    <w:p w14:paraId="3782E12F" w14:textId="330592C7" w:rsidR="001B4512" w:rsidRDefault="001B4512" w:rsidP="00B642AD">
      <w:pPr>
        <w:jc w:val="center"/>
        <w:rPr>
          <w:rFonts w:ascii="Arial" w:hAnsi="Arial" w:cs="Arial"/>
          <w:sz w:val="28"/>
          <w:szCs w:val="28"/>
        </w:rPr>
      </w:pPr>
    </w:p>
    <w:p w14:paraId="77DCB9CD" w14:textId="6DAB09CF" w:rsidR="001B4512" w:rsidRDefault="001B4512" w:rsidP="00B642AD">
      <w:pPr>
        <w:jc w:val="center"/>
        <w:rPr>
          <w:rFonts w:ascii="Arial" w:hAnsi="Arial" w:cs="Arial"/>
          <w:sz w:val="28"/>
          <w:szCs w:val="28"/>
        </w:rPr>
      </w:pPr>
    </w:p>
    <w:p w14:paraId="55A43F89" w14:textId="77777777" w:rsidR="00252929" w:rsidRDefault="00252929" w:rsidP="00B642AD">
      <w:pPr>
        <w:jc w:val="center"/>
        <w:rPr>
          <w:rFonts w:ascii="Arial" w:hAnsi="Arial" w:cs="Arial"/>
          <w:sz w:val="28"/>
          <w:szCs w:val="28"/>
        </w:rPr>
      </w:pPr>
    </w:p>
    <w:p w14:paraId="0D6EEC4A" w14:textId="736B9411" w:rsidR="001B4512" w:rsidRDefault="001B4512" w:rsidP="00B642AD">
      <w:pPr>
        <w:jc w:val="center"/>
        <w:rPr>
          <w:rFonts w:ascii="Arial" w:hAnsi="Arial" w:cs="Arial"/>
          <w:sz w:val="28"/>
          <w:szCs w:val="28"/>
        </w:rPr>
      </w:pPr>
    </w:p>
    <w:p w14:paraId="2338D879" w14:textId="3F5C2811" w:rsidR="001B4512" w:rsidRPr="00682A58" w:rsidRDefault="00682A58" w:rsidP="00B642AD">
      <w:pPr>
        <w:jc w:val="center"/>
        <w:rPr>
          <w:rFonts w:ascii="Arial" w:hAnsi="Arial" w:cs="Arial"/>
          <w:b/>
          <w:bCs/>
          <w:sz w:val="28"/>
          <w:szCs w:val="28"/>
        </w:rPr>
      </w:pPr>
      <w:r w:rsidRPr="00682A58">
        <w:rPr>
          <w:rFonts w:ascii="Arial" w:hAnsi="Arial" w:cs="Arial"/>
          <w:b/>
          <w:bCs/>
          <w:sz w:val="28"/>
          <w:szCs w:val="28"/>
        </w:rPr>
        <w:t>Índice</w:t>
      </w:r>
    </w:p>
    <w:p w14:paraId="3BC983A0" w14:textId="4344FAFC" w:rsidR="008E7BFD" w:rsidRPr="00D05B70" w:rsidRDefault="008E7BFD">
      <w:pPr>
        <w:rPr>
          <w:rFonts w:ascii="Arial" w:hAnsi="Arial" w:cs="Arial"/>
          <w:sz w:val="28"/>
          <w:szCs w:val="28"/>
        </w:rPr>
      </w:pPr>
    </w:p>
    <w:sdt>
      <w:sdtPr>
        <w:rPr>
          <w:rFonts w:ascii="Arial" w:eastAsiaTheme="minorHAnsi" w:hAnsi="Arial" w:cs="Arial"/>
          <w:color w:val="auto"/>
          <w:sz w:val="28"/>
          <w:szCs w:val="28"/>
          <w:lang w:val="es-ES" w:eastAsia="en-US"/>
        </w:rPr>
        <w:id w:val="-1565332182"/>
        <w:docPartObj>
          <w:docPartGallery w:val="Table of Contents"/>
          <w:docPartUnique/>
        </w:docPartObj>
      </w:sdtPr>
      <w:sdtEndPr>
        <w:rPr>
          <w:rFonts w:asciiTheme="minorHAnsi" w:hAnsiTheme="minorHAnsi" w:cstheme="minorBidi"/>
          <w:b/>
          <w:bCs/>
          <w:sz w:val="22"/>
          <w:szCs w:val="22"/>
        </w:rPr>
      </w:sdtEndPr>
      <w:sdtContent>
        <w:p w14:paraId="4F872F62" w14:textId="4C9A2A67" w:rsidR="008B7EE7" w:rsidRPr="00D05B70" w:rsidRDefault="008B7EE7">
          <w:pPr>
            <w:pStyle w:val="TtulodeTDC"/>
            <w:rPr>
              <w:rFonts w:ascii="Arial" w:hAnsi="Arial" w:cs="Arial"/>
              <w:sz w:val="28"/>
              <w:szCs w:val="28"/>
            </w:rPr>
          </w:pPr>
          <w:r w:rsidRPr="00D05B70">
            <w:rPr>
              <w:rFonts w:ascii="Arial" w:hAnsi="Arial" w:cs="Arial"/>
              <w:sz w:val="28"/>
              <w:szCs w:val="28"/>
              <w:lang w:val="es-ES"/>
            </w:rPr>
            <w:t>Contenido</w:t>
          </w:r>
        </w:p>
        <w:p w14:paraId="1F784428" w14:textId="77777777" w:rsidR="008B7EE7" w:rsidRPr="00D05B70" w:rsidRDefault="008B7EE7">
          <w:pPr>
            <w:pStyle w:val="TDC1"/>
            <w:tabs>
              <w:tab w:val="right" w:leader="dot" w:pos="8828"/>
            </w:tabs>
            <w:rPr>
              <w:rFonts w:ascii="Arial" w:hAnsi="Arial" w:cs="Arial"/>
              <w:noProof/>
              <w:sz w:val="28"/>
              <w:szCs w:val="28"/>
            </w:rPr>
          </w:pPr>
          <w:r w:rsidRPr="00D05B70">
            <w:rPr>
              <w:rFonts w:ascii="Arial" w:hAnsi="Arial" w:cs="Arial"/>
              <w:sz w:val="28"/>
              <w:szCs w:val="28"/>
            </w:rPr>
            <w:fldChar w:fldCharType="begin"/>
          </w:r>
          <w:r w:rsidRPr="00D05B70">
            <w:rPr>
              <w:rFonts w:ascii="Arial" w:hAnsi="Arial" w:cs="Arial"/>
              <w:sz w:val="28"/>
              <w:szCs w:val="28"/>
            </w:rPr>
            <w:instrText xml:space="preserve"> TOC \o "1-3" \h \z \u </w:instrText>
          </w:r>
          <w:r w:rsidRPr="00D05B70">
            <w:rPr>
              <w:rFonts w:ascii="Arial" w:hAnsi="Arial" w:cs="Arial"/>
              <w:sz w:val="28"/>
              <w:szCs w:val="28"/>
            </w:rPr>
            <w:fldChar w:fldCharType="separate"/>
          </w:r>
          <w:hyperlink w:anchor="_Toc214138120" w:history="1">
            <w:r w:rsidRPr="00D05B70">
              <w:rPr>
                <w:rStyle w:val="Hipervnculo"/>
                <w:rFonts w:ascii="Arial" w:hAnsi="Arial" w:cs="Arial"/>
                <w:noProof/>
                <w:sz w:val="28"/>
                <w:szCs w:val="28"/>
              </w:rPr>
              <w:t>Introducción</w:t>
            </w:r>
            <w:r w:rsidRPr="00D05B70">
              <w:rPr>
                <w:rFonts w:ascii="Arial" w:hAnsi="Arial" w:cs="Arial"/>
                <w:noProof/>
                <w:webHidden/>
                <w:sz w:val="28"/>
                <w:szCs w:val="28"/>
              </w:rPr>
              <w:tab/>
            </w:r>
            <w:r w:rsidRPr="00D05B70">
              <w:rPr>
                <w:rFonts w:ascii="Arial" w:hAnsi="Arial" w:cs="Arial"/>
                <w:noProof/>
                <w:webHidden/>
                <w:sz w:val="28"/>
                <w:szCs w:val="28"/>
              </w:rPr>
              <w:fldChar w:fldCharType="begin"/>
            </w:r>
            <w:r w:rsidRPr="00D05B70">
              <w:rPr>
                <w:rFonts w:ascii="Arial" w:hAnsi="Arial" w:cs="Arial"/>
                <w:noProof/>
                <w:webHidden/>
                <w:sz w:val="28"/>
                <w:szCs w:val="28"/>
              </w:rPr>
              <w:instrText xml:space="preserve"> PAGEREF _Toc214138120 \h </w:instrText>
            </w:r>
            <w:r w:rsidRPr="00D05B70">
              <w:rPr>
                <w:rFonts w:ascii="Arial" w:hAnsi="Arial" w:cs="Arial"/>
                <w:noProof/>
                <w:webHidden/>
                <w:sz w:val="28"/>
                <w:szCs w:val="28"/>
              </w:rPr>
            </w:r>
            <w:r w:rsidRPr="00D05B70">
              <w:rPr>
                <w:rFonts w:ascii="Arial" w:hAnsi="Arial" w:cs="Arial"/>
                <w:noProof/>
                <w:webHidden/>
                <w:sz w:val="28"/>
                <w:szCs w:val="28"/>
              </w:rPr>
              <w:fldChar w:fldCharType="separate"/>
            </w:r>
            <w:r w:rsidRPr="00D05B70">
              <w:rPr>
                <w:rFonts w:ascii="Arial" w:hAnsi="Arial" w:cs="Arial"/>
                <w:noProof/>
                <w:webHidden/>
                <w:sz w:val="28"/>
                <w:szCs w:val="28"/>
              </w:rPr>
              <w:t>3</w:t>
            </w:r>
            <w:r w:rsidRPr="00D05B70">
              <w:rPr>
                <w:rFonts w:ascii="Arial" w:hAnsi="Arial" w:cs="Arial"/>
                <w:noProof/>
                <w:webHidden/>
                <w:sz w:val="28"/>
                <w:szCs w:val="28"/>
              </w:rPr>
              <w:fldChar w:fldCharType="end"/>
            </w:r>
          </w:hyperlink>
        </w:p>
        <w:p w14:paraId="63DB70F2" w14:textId="77777777" w:rsidR="008B7EE7" w:rsidRPr="00D05B70" w:rsidRDefault="00D86699">
          <w:pPr>
            <w:pStyle w:val="TDC1"/>
            <w:tabs>
              <w:tab w:val="right" w:leader="dot" w:pos="8828"/>
            </w:tabs>
            <w:rPr>
              <w:rFonts w:ascii="Arial" w:hAnsi="Arial" w:cs="Arial"/>
              <w:noProof/>
              <w:sz w:val="28"/>
              <w:szCs w:val="28"/>
            </w:rPr>
          </w:pPr>
          <w:hyperlink w:anchor="_Toc214138121" w:history="1">
            <w:r w:rsidR="008B7EE7" w:rsidRPr="00D05B70">
              <w:rPr>
                <w:rStyle w:val="Hipervnculo"/>
                <w:rFonts w:ascii="Arial" w:hAnsi="Arial" w:cs="Arial"/>
                <w:bCs/>
                <w:noProof/>
                <w:sz w:val="28"/>
                <w:szCs w:val="28"/>
              </w:rPr>
              <w:t xml:space="preserve">Unidad 1: </w:t>
            </w:r>
            <w:r w:rsidR="008B7EE7" w:rsidRPr="00D05B70">
              <w:rPr>
                <w:rStyle w:val="Hipervnculo"/>
                <w:rFonts w:ascii="Arial" w:hAnsi="Arial" w:cs="Arial"/>
                <w:noProof/>
                <w:sz w:val="28"/>
                <w:szCs w:val="28"/>
              </w:rPr>
              <w:t>El servicio. Perspectivas generales</w:t>
            </w:r>
            <w:r w:rsidR="008B7EE7" w:rsidRPr="00D05B70">
              <w:rPr>
                <w:rFonts w:ascii="Arial" w:hAnsi="Arial" w:cs="Arial"/>
                <w:noProof/>
                <w:webHidden/>
                <w:sz w:val="28"/>
                <w:szCs w:val="28"/>
              </w:rPr>
              <w:tab/>
            </w:r>
            <w:r w:rsidR="008B7EE7" w:rsidRPr="00D05B70">
              <w:rPr>
                <w:rFonts w:ascii="Arial" w:hAnsi="Arial" w:cs="Arial"/>
                <w:noProof/>
                <w:webHidden/>
                <w:sz w:val="28"/>
                <w:szCs w:val="28"/>
              </w:rPr>
              <w:fldChar w:fldCharType="begin"/>
            </w:r>
            <w:r w:rsidR="008B7EE7" w:rsidRPr="00D05B70">
              <w:rPr>
                <w:rFonts w:ascii="Arial" w:hAnsi="Arial" w:cs="Arial"/>
                <w:noProof/>
                <w:webHidden/>
                <w:sz w:val="28"/>
                <w:szCs w:val="28"/>
              </w:rPr>
              <w:instrText xml:space="preserve"> PAGEREF _Toc214138121 \h </w:instrText>
            </w:r>
            <w:r w:rsidR="008B7EE7" w:rsidRPr="00D05B70">
              <w:rPr>
                <w:rFonts w:ascii="Arial" w:hAnsi="Arial" w:cs="Arial"/>
                <w:noProof/>
                <w:webHidden/>
                <w:sz w:val="28"/>
                <w:szCs w:val="28"/>
              </w:rPr>
            </w:r>
            <w:r w:rsidR="008B7EE7" w:rsidRPr="00D05B70">
              <w:rPr>
                <w:rFonts w:ascii="Arial" w:hAnsi="Arial" w:cs="Arial"/>
                <w:noProof/>
                <w:webHidden/>
                <w:sz w:val="28"/>
                <w:szCs w:val="28"/>
              </w:rPr>
              <w:fldChar w:fldCharType="separate"/>
            </w:r>
            <w:r w:rsidR="008B7EE7" w:rsidRPr="00D05B70">
              <w:rPr>
                <w:rFonts w:ascii="Arial" w:hAnsi="Arial" w:cs="Arial"/>
                <w:noProof/>
                <w:webHidden/>
                <w:sz w:val="28"/>
                <w:szCs w:val="28"/>
              </w:rPr>
              <w:t>6</w:t>
            </w:r>
            <w:r w:rsidR="008B7EE7" w:rsidRPr="00D05B70">
              <w:rPr>
                <w:rFonts w:ascii="Arial" w:hAnsi="Arial" w:cs="Arial"/>
                <w:noProof/>
                <w:webHidden/>
                <w:sz w:val="28"/>
                <w:szCs w:val="28"/>
              </w:rPr>
              <w:fldChar w:fldCharType="end"/>
            </w:r>
          </w:hyperlink>
        </w:p>
        <w:p w14:paraId="410D827B" w14:textId="77777777" w:rsidR="008B7EE7" w:rsidRPr="00D05B70" w:rsidRDefault="00D86699">
          <w:pPr>
            <w:pStyle w:val="TDC1"/>
            <w:tabs>
              <w:tab w:val="right" w:leader="dot" w:pos="8828"/>
            </w:tabs>
            <w:rPr>
              <w:rFonts w:ascii="Arial" w:hAnsi="Arial" w:cs="Arial"/>
              <w:noProof/>
              <w:sz w:val="28"/>
              <w:szCs w:val="28"/>
            </w:rPr>
          </w:pPr>
          <w:hyperlink w:anchor="_Toc214138123" w:history="1">
            <w:r w:rsidR="008B7EE7" w:rsidRPr="00D05B70">
              <w:rPr>
                <w:rStyle w:val="Hipervnculo"/>
                <w:rFonts w:ascii="Arial" w:hAnsi="Arial" w:cs="Arial"/>
                <w:noProof/>
                <w:sz w:val="28"/>
                <w:szCs w:val="28"/>
              </w:rPr>
              <w:t>Unidad 2: Mercadotecnia aplicada a los servicios</w:t>
            </w:r>
            <w:r w:rsidR="008B7EE7" w:rsidRPr="00D05B70">
              <w:rPr>
                <w:rFonts w:ascii="Arial" w:hAnsi="Arial" w:cs="Arial"/>
                <w:noProof/>
                <w:webHidden/>
                <w:sz w:val="28"/>
                <w:szCs w:val="28"/>
              </w:rPr>
              <w:tab/>
            </w:r>
            <w:r w:rsidR="008B7EE7" w:rsidRPr="00D05B70">
              <w:rPr>
                <w:rFonts w:ascii="Arial" w:hAnsi="Arial" w:cs="Arial"/>
                <w:noProof/>
                <w:webHidden/>
                <w:sz w:val="28"/>
                <w:szCs w:val="28"/>
              </w:rPr>
              <w:fldChar w:fldCharType="begin"/>
            </w:r>
            <w:r w:rsidR="008B7EE7" w:rsidRPr="00D05B70">
              <w:rPr>
                <w:rFonts w:ascii="Arial" w:hAnsi="Arial" w:cs="Arial"/>
                <w:noProof/>
                <w:webHidden/>
                <w:sz w:val="28"/>
                <w:szCs w:val="28"/>
              </w:rPr>
              <w:instrText xml:space="preserve"> PAGEREF _Toc214138123 \h </w:instrText>
            </w:r>
            <w:r w:rsidR="008B7EE7" w:rsidRPr="00D05B70">
              <w:rPr>
                <w:rFonts w:ascii="Arial" w:hAnsi="Arial" w:cs="Arial"/>
                <w:noProof/>
                <w:webHidden/>
                <w:sz w:val="28"/>
                <w:szCs w:val="28"/>
              </w:rPr>
            </w:r>
            <w:r w:rsidR="008B7EE7" w:rsidRPr="00D05B70">
              <w:rPr>
                <w:rFonts w:ascii="Arial" w:hAnsi="Arial" w:cs="Arial"/>
                <w:noProof/>
                <w:webHidden/>
                <w:sz w:val="28"/>
                <w:szCs w:val="28"/>
              </w:rPr>
              <w:fldChar w:fldCharType="separate"/>
            </w:r>
            <w:r w:rsidR="008B7EE7" w:rsidRPr="00D05B70">
              <w:rPr>
                <w:rFonts w:ascii="Arial" w:hAnsi="Arial" w:cs="Arial"/>
                <w:noProof/>
                <w:webHidden/>
                <w:sz w:val="28"/>
                <w:szCs w:val="28"/>
              </w:rPr>
              <w:t>9</w:t>
            </w:r>
            <w:r w:rsidR="008B7EE7" w:rsidRPr="00D05B70">
              <w:rPr>
                <w:rFonts w:ascii="Arial" w:hAnsi="Arial" w:cs="Arial"/>
                <w:noProof/>
                <w:webHidden/>
                <w:sz w:val="28"/>
                <w:szCs w:val="28"/>
              </w:rPr>
              <w:fldChar w:fldCharType="end"/>
            </w:r>
          </w:hyperlink>
        </w:p>
        <w:p w14:paraId="3E538752" w14:textId="77777777" w:rsidR="008B7EE7" w:rsidRPr="00D05B70" w:rsidRDefault="00D86699">
          <w:pPr>
            <w:pStyle w:val="TDC1"/>
            <w:tabs>
              <w:tab w:val="right" w:leader="dot" w:pos="8828"/>
            </w:tabs>
            <w:rPr>
              <w:rFonts w:ascii="Arial" w:hAnsi="Arial" w:cs="Arial"/>
              <w:noProof/>
              <w:sz w:val="28"/>
              <w:szCs w:val="28"/>
            </w:rPr>
          </w:pPr>
          <w:hyperlink w:anchor="_Toc214138124" w:history="1">
            <w:r w:rsidR="008B7EE7" w:rsidRPr="00D05B70">
              <w:rPr>
                <w:rStyle w:val="Hipervnculo"/>
                <w:rFonts w:ascii="Arial" w:hAnsi="Arial" w:cs="Arial"/>
                <w:noProof/>
                <w:sz w:val="28"/>
                <w:szCs w:val="28"/>
              </w:rPr>
              <w:t>Unidad 3: Función estratégica de la calidad en la prestación de servicios</w:t>
            </w:r>
            <w:r w:rsidR="008B7EE7" w:rsidRPr="00D05B70">
              <w:rPr>
                <w:rFonts w:ascii="Arial" w:hAnsi="Arial" w:cs="Arial"/>
                <w:noProof/>
                <w:webHidden/>
                <w:sz w:val="28"/>
                <w:szCs w:val="28"/>
              </w:rPr>
              <w:tab/>
            </w:r>
            <w:r w:rsidR="008B7EE7" w:rsidRPr="00D05B70">
              <w:rPr>
                <w:rFonts w:ascii="Arial" w:hAnsi="Arial" w:cs="Arial"/>
                <w:noProof/>
                <w:webHidden/>
                <w:sz w:val="28"/>
                <w:szCs w:val="28"/>
              </w:rPr>
              <w:fldChar w:fldCharType="begin"/>
            </w:r>
            <w:r w:rsidR="008B7EE7" w:rsidRPr="00D05B70">
              <w:rPr>
                <w:rFonts w:ascii="Arial" w:hAnsi="Arial" w:cs="Arial"/>
                <w:noProof/>
                <w:webHidden/>
                <w:sz w:val="28"/>
                <w:szCs w:val="28"/>
              </w:rPr>
              <w:instrText xml:space="preserve"> PAGEREF _Toc214138124 \h </w:instrText>
            </w:r>
            <w:r w:rsidR="008B7EE7" w:rsidRPr="00D05B70">
              <w:rPr>
                <w:rFonts w:ascii="Arial" w:hAnsi="Arial" w:cs="Arial"/>
                <w:noProof/>
                <w:webHidden/>
                <w:sz w:val="28"/>
                <w:szCs w:val="28"/>
              </w:rPr>
            </w:r>
            <w:r w:rsidR="008B7EE7" w:rsidRPr="00D05B70">
              <w:rPr>
                <w:rFonts w:ascii="Arial" w:hAnsi="Arial" w:cs="Arial"/>
                <w:noProof/>
                <w:webHidden/>
                <w:sz w:val="28"/>
                <w:szCs w:val="28"/>
              </w:rPr>
              <w:fldChar w:fldCharType="separate"/>
            </w:r>
            <w:r w:rsidR="008B7EE7" w:rsidRPr="00D05B70">
              <w:rPr>
                <w:rFonts w:ascii="Arial" w:hAnsi="Arial" w:cs="Arial"/>
                <w:noProof/>
                <w:webHidden/>
                <w:sz w:val="28"/>
                <w:szCs w:val="28"/>
              </w:rPr>
              <w:t>11</w:t>
            </w:r>
            <w:r w:rsidR="008B7EE7" w:rsidRPr="00D05B70">
              <w:rPr>
                <w:rFonts w:ascii="Arial" w:hAnsi="Arial" w:cs="Arial"/>
                <w:noProof/>
                <w:webHidden/>
                <w:sz w:val="28"/>
                <w:szCs w:val="28"/>
              </w:rPr>
              <w:fldChar w:fldCharType="end"/>
            </w:r>
          </w:hyperlink>
        </w:p>
        <w:p w14:paraId="257B1814" w14:textId="77777777" w:rsidR="008B7EE7" w:rsidRPr="00D05B70" w:rsidRDefault="00D86699">
          <w:pPr>
            <w:pStyle w:val="TDC1"/>
            <w:tabs>
              <w:tab w:val="right" w:leader="dot" w:pos="8828"/>
            </w:tabs>
            <w:rPr>
              <w:rFonts w:ascii="Arial" w:hAnsi="Arial" w:cs="Arial"/>
              <w:noProof/>
              <w:sz w:val="28"/>
              <w:szCs w:val="28"/>
            </w:rPr>
          </w:pPr>
          <w:hyperlink w:anchor="_Toc214138125" w:history="1">
            <w:r w:rsidR="008B7EE7" w:rsidRPr="00D05B70">
              <w:rPr>
                <w:rStyle w:val="Hipervnculo"/>
                <w:rFonts w:ascii="Arial" w:hAnsi="Arial" w:cs="Arial"/>
                <w:noProof/>
                <w:sz w:val="28"/>
                <w:szCs w:val="28"/>
              </w:rPr>
              <w:t>Unidad 4: Modalidades del marketing de servicios</w:t>
            </w:r>
            <w:r w:rsidR="008B7EE7" w:rsidRPr="00D05B70">
              <w:rPr>
                <w:rFonts w:ascii="Arial" w:hAnsi="Arial" w:cs="Arial"/>
                <w:noProof/>
                <w:webHidden/>
                <w:sz w:val="28"/>
                <w:szCs w:val="28"/>
              </w:rPr>
              <w:tab/>
            </w:r>
            <w:r w:rsidR="008B7EE7" w:rsidRPr="00D05B70">
              <w:rPr>
                <w:rFonts w:ascii="Arial" w:hAnsi="Arial" w:cs="Arial"/>
                <w:noProof/>
                <w:webHidden/>
                <w:sz w:val="28"/>
                <w:szCs w:val="28"/>
              </w:rPr>
              <w:fldChar w:fldCharType="begin"/>
            </w:r>
            <w:r w:rsidR="008B7EE7" w:rsidRPr="00D05B70">
              <w:rPr>
                <w:rFonts w:ascii="Arial" w:hAnsi="Arial" w:cs="Arial"/>
                <w:noProof/>
                <w:webHidden/>
                <w:sz w:val="28"/>
                <w:szCs w:val="28"/>
              </w:rPr>
              <w:instrText xml:space="preserve"> PAGEREF _Toc214138125 \h </w:instrText>
            </w:r>
            <w:r w:rsidR="008B7EE7" w:rsidRPr="00D05B70">
              <w:rPr>
                <w:rFonts w:ascii="Arial" w:hAnsi="Arial" w:cs="Arial"/>
                <w:noProof/>
                <w:webHidden/>
                <w:sz w:val="28"/>
                <w:szCs w:val="28"/>
              </w:rPr>
            </w:r>
            <w:r w:rsidR="008B7EE7" w:rsidRPr="00D05B70">
              <w:rPr>
                <w:rFonts w:ascii="Arial" w:hAnsi="Arial" w:cs="Arial"/>
                <w:noProof/>
                <w:webHidden/>
                <w:sz w:val="28"/>
                <w:szCs w:val="28"/>
              </w:rPr>
              <w:fldChar w:fldCharType="separate"/>
            </w:r>
            <w:r w:rsidR="008B7EE7" w:rsidRPr="00D05B70">
              <w:rPr>
                <w:rFonts w:ascii="Arial" w:hAnsi="Arial" w:cs="Arial"/>
                <w:noProof/>
                <w:webHidden/>
                <w:sz w:val="28"/>
                <w:szCs w:val="28"/>
              </w:rPr>
              <w:t>13</w:t>
            </w:r>
            <w:r w:rsidR="008B7EE7" w:rsidRPr="00D05B70">
              <w:rPr>
                <w:rFonts w:ascii="Arial" w:hAnsi="Arial" w:cs="Arial"/>
                <w:noProof/>
                <w:webHidden/>
                <w:sz w:val="28"/>
                <w:szCs w:val="28"/>
              </w:rPr>
              <w:fldChar w:fldCharType="end"/>
            </w:r>
          </w:hyperlink>
        </w:p>
        <w:p w14:paraId="7E576F15" w14:textId="77777777" w:rsidR="008B7EE7" w:rsidRPr="00D05B70" w:rsidRDefault="00D86699">
          <w:pPr>
            <w:pStyle w:val="TDC1"/>
            <w:tabs>
              <w:tab w:val="right" w:leader="dot" w:pos="8828"/>
            </w:tabs>
            <w:rPr>
              <w:rFonts w:ascii="Arial" w:hAnsi="Arial" w:cs="Arial"/>
              <w:noProof/>
              <w:sz w:val="28"/>
              <w:szCs w:val="28"/>
            </w:rPr>
          </w:pPr>
          <w:hyperlink w:anchor="_Toc214138126" w:history="1">
            <w:r w:rsidR="008B7EE7" w:rsidRPr="00D05B70">
              <w:rPr>
                <w:rStyle w:val="Hipervnculo"/>
                <w:rFonts w:ascii="Arial" w:hAnsi="Arial" w:cs="Arial"/>
                <w:noProof/>
                <w:sz w:val="28"/>
                <w:szCs w:val="28"/>
              </w:rPr>
              <w:t>Conclusión</w:t>
            </w:r>
            <w:r w:rsidR="008B7EE7" w:rsidRPr="00D05B70">
              <w:rPr>
                <w:rFonts w:ascii="Arial" w:hAnsi="Arial" w:cs="Arial"/>
                <w:noProof/>
                <w:webHidden/>
                <w:sz w:val="28"/>
                <w:szCs w:val="28"/>
              </w:rPr>
              <w:tab/>
            </w:r>
            <w:r w:rsidR="008B7EE7" w:rsidRPr="00D05B70">
              <w:rPr>
                <w:rFonts w:ascii="Arial" w:hAnsi="Arial" w:cs="Arial"/>
                <w:noProof/>
                <w:webHidden/>
                <w:sz w:val="28"/>
                <w:szCs w:val="28"/>
              </w:rPr>
              <w:fldChar w:fldCharType="begin"/>
            </w:r>
            <w:r w:rsidR="008B7EE7" w:rsidRPr="00D05B70">
              <w:rPr>
                <w:rFonts w:ascii="Arial" w:hAnsi="Arial" w:cs="Arial"/>
                <w:noProof/>
                <w:webHidden/>
                <w:sz w:val="28"/>
                <w:szCs w:val="28"/>
              </w:rPr>
              <w:instrText xml:space="preserve"> PAGEREF _Toc214138126 \h </w:instrText>
            </w:r>
            <w:r w:rsidR="008B7EE7" w:rsidRPr="00D05B70">
              <w:rPr>
                <w:rFonts w:ascii="Arial" w:hAnsi="Arial" w:cs="Arial"/>
                <w:noProof/>
                <w:webHidden/>
                <w:sz w:val="28"/>
                <w:szCs w:val="28"/>
              </w:rPr>
            </w:r>
            <w:r w:rsidR="008B7EE7" w:rsidRPr="00D05B70">
              <w:rPr>
                <w:rFonts w:ascii="Arial" w:hAnsi="Arial" w:cs="Arial"/>
                <w:noProof/>
                <w:webHidden/>
                <w:sz w:val="28"/>
                <w:szCs w:val="28"/>
              </w:rPr>
              <w:fldChar w:fldCharType="separate"/>
            </w:r>
            <w:r w:rsidR="008B7EE7" w:rsidRPr="00D05B70">
              <w:rPr>
                <w:rFonts w:ascii="Arial" w:hAnsi="Arial" w:cs="Arial"/>
                <w:noProof/>
                <w:webHidden/>
                <w:sz w:val="28"/>
                <w:szCs w:val="28"/>
              </w:rPr>
              <w:t>15</w:t>
            </w:r>
            <w:r w:rsidR="008B7EE7" w:rsidRPr="00D05B70">
              <w:rPr>
                <w:rFonts w:ascii="Arial" w:hAnsi="Arial" w:cs="Arial"/>
                <w:noProof/>
                <w:webHidden/>
                <w:sz w:val="28"/>
                <w:szCs w:val="28"/>
              </w:rPr>
              <w:fldChar w:fldCharType="end"/>
            </w:r>
          </w:hyperlink>
        </w:p>
        <w:p w14:paraId="7B4D8531" w14:textId="77777777" w:rsidR="008B7EE7" w:rsidRPr="00D05B70" w:rsidRDefault="00D86699">
          <w:pPr>
            <w:pStyle w:val="TDC1"/>
            <w:tabs>
              <w:tab w:val="right" w:leader="dot" w:pos="8828"/>
            </w:tabs>
            <w:rPr>
              <w:rFonts w:ascii="Arial" w:hAnsi="Arial" w:cs="Arial"/>
              <w:noProof/>
              <w:sz w:val="28"/>
              <w:szCs w:val="28"/>
            </w:rPr>
          </w:pPr>
          <w:hyperlink w:anchor="_Toc214138127" w:history="1">
            <w:r w:rsidR="008B7EE7" w:rsidRPr="00D05B70">
              <w:rPr>
                <w:rStyle w:val="Hipervnculo"/>
                <w:rFonts w:ascii="Arial" w:hAnsi="Arial" w:cs="Arial"/>
                <w:noProof/>
                <w:sz w:val="28"/>
                <w:szCs w:val="28"/>
              </w:rPr>
              <w:t>Referencias</w:t>
            </w:r>
            <w:r w:rsidR="008B7EE7" w:rsidRPr="00D05B70">
              <w:rPr>
                <w:rFonts w:ascii="Arial" w:hAnsi="Arial" w:cs="Arial"/>
                <w:noProof/>
                <w:webHidden/>
                <w:sz w:val="28"/>
                <w:szCs w:val="28"/>
              </w:rPr>
              <w:tab/>
            </w:r>
            <w:r w:rsidR="008B7EE7" w:rsidRPr="00D05B70">
              <w:rPr>
                <w:rFonts w:ascii="Arial" w:hAnsi="Arial" w:cs="Arial"/>
                <w:noProof/>
                <w:webHidden/>
                <w:sz w:val="28"/>
                <w:szCs w:val="28"/>
              </w:rPr>
              <w:fldChar w:fldCharType="begin"/>
            </w:r>
            <w:r w:rsidR="008B7EE7" w:rsidRPr="00D05B70">
              <w:rPr>
                <w:rFonts w:ascii="Arial" w:hAnsi="Arial" w:cs="Arial"/>
                <w:noProof/>
                <w:webHidden/>
                <w:sz w:val="28"/>
                <w:szCs w:val="28"/>
              </w:rPr>
              <w:instrText xml:space="preserve"> PAGEREF _Toc214138127 \h </w:instrText>
            </w:r>
            <w:r w:rsidR="008B7EE7" w:rsidRPr="00D05B70">
              <w:rPr>
                <w:rFonts w:ascii="Arial" w:hAnsi="Arial" w:cs="Arial"/>
                <w:noProof/>
                <w:webHidden/>
                <w:sz w:val="28"/>
                <w:szCs w:val="28"/>
              </w:rPr>
            </w:r>
            <w:r w:rsidR="008B7EE7" w:rsidRPr="00D05B70">
              <w:rPr>
                <w:rFonts w:ascii="Arial" w:hAnsi="Arial" w:cs="Arial"/>
                <w:noProof/>
                <w:webHidden/>
                <w:sz w:val="28"/>
                <w:szCs w:val="28"/>
              </w:rPr>
              <w:fldChar w:fldCharType="separate"/>
            </w:r>
            <w:r w:rsidR="008B7EE7" w:rsidRPr="00D05B70">
              <w:rPr>
                <w:rFonts w:ascii="Arial" w:hAnsi="Arial" w:cs="Arial"/>
                <w:noProof/>
                <w:webHidden/>
                <w:sz w:val="28"/>
                <w:szCs w:val="28"/>
              </w:rPr>
              <w:t>16</w:t>
            </w:r>
            <w:r w:rsidR="008B7EE7" w:rsidRPr="00D05B70">
              <w:rPr>
                <w:rFonts w:ascii="Arial" w:hAnsi="Arial" w:cs="Arial"/>
                <w:noProof/>
                <w:webHidden/>
                <w:sz w:val="28"/>
                <w:szCs w:val="28"/>
              </w:rPr>
              <w:fldChar w:fldCharType="end"/>
            </w:r>
          </w:hyperlink>
        </w:p>
        <w:p w14:paraId="1031AB0E" w14:textId="2DDE84D2" w:rsidR="008B7EE7" w:rsidRDefault="008B7EE7">
          <w:r w:rsidRPr="00D05B70">
            <w:rPr>
              <w:rFonts w:ascii="Arial" w:hAnsi="Arial" w:cs="Arial"/>
              <w:b/>
              <w:bCs/>
              <w:sz w:val="28"/>
              <w:szCs w:val="28"/>
              <w:lang w:val="es-ES"/>
            </w:rPr>
            <w:fldChar w:fldCharType="end"/>
          </w:r>
        </w:p>
      </w:sdtContent>
    </w:sdt>
    <w:p w14:paraId="31E41B64" w14:textId="77777777" w:rsidR="008E7BFD" w:rsidRDefault="008E7BFD" w:rsidP="00BE56B0">
      <w:pPr>
        <w:rPr>
          <w:rFonts w:ascii="Arial" w:hAnsi="Arial" w:cs="Arial"/>
        </w:rPr>
      </w:pPr>
    </w:p>
    <w:p w14:paraId="16FB9702" w14:textId="77777777" w:rsidR="008E7BFD" w:rsidRDefault="008E7BFD" w:rsidP="00BE56B0">
      <w:pPr>
        <w:rPr>
          <w:rFonts w:ascii="Arial" w:hAnsi="Arial" w:cs="Arial"/>
        </w:rPr>
      </w:pPr>
    </w:p>
    <w:p w14:paraId="4CDCECBC" w14:textId="77777777" w:rsidR="008E7BFD" w:rsidRDefault="008E7BFD" w:rsidP="00BE56B0">
      <w:pPr>
        <w:rPr>
          <w:rFonts w:ascii="Arial" w:hAnsi="Arial" w:cs="Arial"/>
        </w:rPr>
      </w:pPr>
    </w:p>
    <w:p w14:paraId="5272CD4D" w14:textId="77777777" w:rsidR="008E7BFD" w:rsidRDefault="008E7BFD" w:rsidP="00BE56B0">
      <w:pPr>
        <w:rPr>
          <w:rFonts w:ascii="Arial" w:hAnsi="Arial" w:cs="Arial"/>
        </w:rPr>
      </w:pPr>
    </w:p>
    <w:p w14:paraId="193AD71F" w14:textId="77777777" w:rsidR="008E7BFD" w:rsidRDefault="008E7BFD" w:rsidP="00BE56B0">
      <w:pPr>
        <w:rPr>
          <w:rFonts w:ascii="Arial" w:hAnsi="Arial" w:cs="Arial"/>
        </w:rPr>
      </w:pPr>
    </w:p>
    <w:p w14:paraId="015B7311" w14:textId="77777777" w:rsidR="008E7BFD" w:rsidRDefault="008E7BFD" w:rsidP="00BE56B0">
      <w:pPr>
        <w:rPr>
          <w:rFonts w:ascii="Arial" w:hAnsi="Arial" w:cs="Arial"/>
        </w:rPr>
      </w:pPr>
    </w:p>
    <w:p w14:paraId="2C5A0C7F" w14:textId="77777777" w:rsidR="008E7BFD" w:rsidRDefault="008E7BFD" w:rsidP="00BE56B0">
      <w:pPr>
        <w:rPr>
          <w:rFonts w:ascii="Arial" w:hAnsi="Arial" w:cs="Arial"/>
        </w:rPr>
      </w:pPr>
    </w:p>
    <w:p w14:paraId="159E3C42" w14:textId="77777777" w:rsidR="008E7BFD" w:rsidRDefault="008E7BFD" w:rsidP="00BE56B0">
      <w:pPr>
        <w:rPr>
          <w:rFonts w:ascii="Arial" w:hAnsi="Arial" w:cs="Arial"/>
        </w:rPr>
      </w:pPr>
    </w:p>
    <w:p w14:paraId="727A5FF7" w14:textId="77777777" w:rsidR="008E7BFD" w:rsidRDefault="008E7BFD" w:rsidP="00BE56B0">
      <w:pPr>
        <w:rPr>
          <w:rFonts w:ascii="Arial" w:hAnsi="Arial" w:cs="Arial"/>
        </w:rPr>
      </w:pPr>
    </w:p>
    <w:p w14:paraId="5BC080D3" w14:textId="77777777" w:rsidR="008E7BFD" w:rsidRDefault="008E7BFD" w:rsidP="00BE56B0">
      <w:pPr>
        <w:rPr>
          <w:rFonts w:ascii="Arial" w:hAnsi="Arial" w:cs="Arial"/>
        </w:rPr>
      </w:pPr>
    </w:p>
    <w:p w14:paraId="031B0B14" w14:textId="77777777" w:rsidR="008E7BFD" w:rsidRDefault="008E7BFD" w:rsidP="00BE56B0">
      <w:pPr>
        <w:rPr>
          <w:rFonts w:ascii="Arial" w:hAnsi="Arial" w:cs="Arial"/>
        </w:rPr>
      </w:pPr>
    </w:p>
    <w:p w14:paraId="46BE99E8" w14:textId="19232722" w:rsidR="00607221" w:rsidRDefault="00607221" w:rsidP="00D05B70">
      <w:pPr>
        <w:rPr>
          <w:rFonts w:ascii="Arial" w:hAnsi="Arial" w:cs="Arial"/>
          <w:sz w:val="28"/>
          <w:szCs w:val="28"/>
        </w:rPr>
      </w:pPr>
    </w:p>
    <w:p w14:paraId="46201D27" w14:textId="77777777" w:rsidR="003E7653" w:rsidRDefault="003E7653" w:rsidP="003E7653">
      <w:pPr>
        <w:rPr>
          <w:rFonts w:ascii="Arial" w:hAnsi="Arial" w:cs="Arial"/>
          <w:b/>
          <w:bCs/>
          <w:sz w:val="28"/>
          <w:szCs w:val="28"/>
        </w:rPr>
      </w:pPr>
    </w:p>
    <w:p w14:paraId="7EC68D2F" w14:textId="09283D8D" w:rsidR="001B4512" w:rsidRPr="00D05B70" w:rsidRDefault="006D070B" w:rsidP="008B7EE7">
      <w:pPr>
        <w:pStyle w:val="Ttulo1"/>
        <w:jc w:val="center"/>
        <w:rPr>
          <w:rFonts w:ascii="Arial" w:hAnsi="Arial" w:cs="Arial"/>
          <w:b/>
          <w:sz w:val="28"/>
          <w:szCs w:val="28"/>
        </w:rPr>
      </w:pPr>
      <w:bookmarkStart w:id="0" w:name="_Toc214138120"/>
      <w:r w:rsidRPr="00D05B70">
        <w:rPr>
          <w:rFonts w:ascii="Arial" w:hAnsi="Arial" w:cs="Arial"/>
          <w:b/>
          <w:sz w:val="28"/>
          <w:szCs w:val="28"/>
        </w:rPr>
        <w:lastRenderedPageBreak/>
        <w:t>Introducción</w:t>
      </w:r>
      <w:bookmarkEnd w:id="0"/>
    </w:p>
    <w:p w14:paraId="57D1ED55" w14:textId="77777777" w:rsidR="00D05B70" w:rsidRDefault="00D05B70" w:rsidP="00D05B70">
      <w:pPr>
        <w:rPr>
          <w:rFonts w:ascii="Arial" w:hAnsi="Arial" w:cs="Arial"/>
          <w:sz w:val="28"/>
          <w:szCs w:val="28"/>
        </w:rPr>
      </w:pPr>
    </w:p>
    <w:p w14:paraId="7B534463" w14:textId="77777777" w:rsidR="00D05B70" w:rsidRPr="00D05B70" w:rsidRDefault="00D05B70" w:rsidP="00D05B70">
      <w:pPr>
        <w:spacing w:before="100" w:beforeAutospacing="1" w:after="100" w:afterAutospacing="1" w:line="360" w:lineRule="auto"/>
        <w:jc w:val="both"/>
        <w:rPr>
          <w:rFonts w:ascii="Arial" w:eastAsia="Times New Roman" w:hAnsi="Arial" w:cs="Arial"/>
          <w:sz w:val="24"/>
          <w:szCs w:val="24"/>
          <w:lang w:eastAsia="es-MX"/>
        </w:rPr>
      </w:pPr>
      <w:r w:rsidRPr="00D05B70">
        <w:rPr>
          <w:rFonts w:ascii="Arial" w:eastAsia="Times New Roman" w:hAnsi="Arial" w:cs="Arial"/>
          <w:sz w:val="24"/>
          <w:szCs w:val="24"/>
          <w:lang w:eastAsia="es-MX"/>
        </w:rPr>
        <w:t xml:space="preserve">La materia de </w:t>
      </w:r>
      <w:r w:rsidRPr="00D05B70">
        <w:rPr>
          <w:rFonts w:ascii="Arial" w:eastAsia="Times New Roman" w:hAnsi="Arial" w:cs="Arial"/>
          <w:bCs/>
          <w:sz w:val="24"/>
          <w:szCs w:val="24"/>
          <w:lang w:eastAsia="es-MX"/>
        </w:rPr>
        <w:t>Mercadotecnia de Servicios</w:t>
      </w:r>
      <w:r w:rsidRPr="00D05B70">
        <w:rPr>
          <w:rFonts w:ascii="Arial" w:eastAsia="Times New Roman" w:hAnsi="Arial" w:cs="Arial"/>
          <w:sz w:val="24"/>
          <w:szCs w:val="24"/>
          <w:lang w:eastAsia="es-MX"/>
        </w:rPr>
        <w:t xml:space="preserve"> es clave en nuestra formación, ya que permite comprender cómo se analizan y mejoran las experiencias que viven los clientes. Durante el semestre agosto–diciembre 2026 elaboramos varios reportes de lectura que sirvieron para entender los conceptos fundamentales del servicio. Este documento, </w:t>
      </w:r>
      <w:r w:rsidRPr="00D05B70">
        <w:rPr>
          <w:rFonts w:ascii="Arial" w:eastAsia="Times New Roman" w:hAnsi="Arial" w:cs="Arial"/>
          <w:i/>
          <w:iCs/>
          <w:sz w:val="24"/>
          <w:szCs w:val="24"/>
          <w:lang w:eastAsia="es-MX"/>
        </w:rPr>
        <w:t>Apuntes de Mercadotecnia de Servicios</w:t>
      </w:r>
      <w:r w:rsidRPr="00D05B70">
        <w:rPr>
          <w:rFonts w:ascii="Arial" w:eastAsia="Times New Roman" w:hAnsi="Arial" w:cs="Arial"/>
          <w:sz w:val="24"/>
          <w:szCs w:val="24"/>
          <w:lang w:eastAsia="es-MX"/>
        </w:rPr>
        <w:t>, reúne dichos reportes como evidencia del análisis teórico que apoyó el proyecto final.</w:t>
      </w:r>
    </w:p>
    <w:p w14:paraId="4473849F" w14:textId="77777777" w:rsidR="00D05B70" w:rsidRPr="00D05B70" w:rsidRDefault="00D05B70" w:rsidP="00D05B70">
      <w:pPr>
        <w:spacing w:before="100" w:beforeAutospacing="1" w:after="100" w:afterAutospacing="1" w:line="360" w:lineRule="auto"/>
        <w:jc w:val="both"/>
        <w:rPr>
          <w:rFonts w:ascii="Arial" w:eastAsia="Times New Roman" w:hAnsi="Arial" w:cs="Arial"/>
          <w:sz w:val="24"/>
          <w:szCs w:val="24"/>
          <w:lang w:eastAsia="es-MX"/>
        </w:rPr>
      </w:pPr>
      <w:r w:rsidRPr="00D05B70">
        <w:rPr>
          <w:rFonts w:ascii="Arial" w:eastAsia="Times New Roman" w:hAnsi="Arial" w:cs="Arial"/>
          <w:sz w:val="24"/>
          <w:szCs w:val="24"/>
          <w:lang w:eastAsia="es-MX"/>
        </w:rPr>
        <w:t>Los contenidos se organizaron en cuatro unidades. La Unidad 1 aborda los conceptos básicos del servicio y sus características. La Unidad 2 se centra en la mercadotecnia aplicada, incluyendo segmentación, mercado objetivo, posicionamiento y Service Blueprinting. La Unidad 3 analiza la calidad del servicio, la recuperación y la mejora continua. Finalmente, la Unidad 4 explica las modalidades del marketing de servicios, así como temas como omnicanalidad, lealtad y CRM.</w:t>
      </w:r>
    </w:p>
    <w:p w14:paraId="1EB3AEF1" w14:textId="77777777" w:rsidR="00D05B70" w:rsidRPr="00D05B70" w:rsidRDefault="00D05B70" w:rsidP="00D05B70">
      <w:pPr>
        <w:spacing w:before="100" w:beforeAutospacing="1" w:after="100" w:afterAutospacing="1" w:line="360" w:lineRule="auto"/>
        <w:jc w:val="both"/>
        <w:rPr>
          <w:rFonts w:ascii="Arial" w:eastAsia="Times New Roman" w:hAnsi="Arial" w:cs="Arial"/>
          <w:sz w:val="24"/>
          <w:szCs w:val="24"/>
          <w:lang w:eastAsia="es-MX"/>
        </w:rPr>
      </w:pPr>
      <w:r w:rsidRPr="00D05B70">
        <w:rPr>
          <w:rFonts w:ascii="Arial" w:eastAsia="Times New Roman" w:hAnsi="Arial" w:cs="Arial"/>
          <w:sz w:val="24"/>
          <w:szCs w:val="24"/>
          <w:lang w:eastAsia="es-MX"/>
        </w:rPr>
        <w:t>Esta actividad permitió aplicar lo aprendido y reconocer la importancia de identificar necesidades del cliente y evaluar su experiencia. Aunque hubo desafíos por el tiempo limitado para obtener información, se resolvieron con la consulta de fuentes adicionales y una mejor organización. En conjunto, esta experiencia fortaleció habilidades de análisis, planeación y gestión, esenciales para el desarrollo profesional en mercadotecnia.</w:t>
      </w:r>
    </w:p>
    <w:p w14:paraId="2B8ABF28" w14:textId="77777777" w:rsidR="00D05B70" w:rsidRDefault="00D05B70" w:rsidP="00D05B70">
      <w:pPr>
        <w:rPr>
          <w:rFonts w:ascii="Arial" w:hAnsi="Arial" w:cs="Arial"/>
          <w:sz w:val="28"/>
          <w:szCs w:val="28"/>
        </w:rPr>
      </w:pPr>
    </w:p>
    <w:p w14:paraId="34DF77DD" w14:textId="3C5DC9B4" w:rsidR="00B642AD" w:rsidRDefault="00B642AD" w:rsidP="00616514">
      <w:pPr>
        <w:jc w:val="center"/>
        <w:rPr>
          <w:rFonts w:ascii="Arial" w:hAnsi="Arial" w:cs="Arial"/>
          <w:sz w:val="28"/>
          <w:szCs w:val="28"/>
        </w:rPr>
      </w:pPr>
    </w:p>
    <w:p w14:paraId="750FD647" w14:textId="7B9C6477" w:rsidR="00DA3267" w:rsidRDefault="00DA3267" w:rsidP="00616514">
      <w:pPr>
        <w:jc w:val="center"/>
        <w:rPr>
          <w:rFonts w:ascii="Arial" w:hAnsi="Arial" w:cs="Arial"/>
          <w:sz w:val="28"/>
          <w:szCs w:val="28"/>
        </w:rPr>
      </w:pPr>
    </w:p>
    <w:p w14:paraId="39C7210B" w14:textId="274B678F" w:rsidR="00DA3267" w:rsidRDefault="00DA3267" w:rsidP="00616514">
      <w:pPr>
        <w:jc w:val="center"/>
        <w:rPr>
          <w:rFonts w:ascii="Arial" w:hAnsi="Arial" w:cs="Arial"/>
          <w:sz w:val="28"/>
          <w:szCs w:val="28"/>
        </w:rPr>
      </w:pPr>
    </w:p>
    <w:p w14:paraId="12D09425" w14:textId="66D015F2" w:rsidR="00DA3267" w:rsidRDefault="00DA3267" w:rsidP="00616514">
      <w:pPr>
        <w:jc w:val="center"/>
        <w:rPr>
          <w:rFonts w:ascii="Arial" w:hAnsi="Arial" w:cs="Arial"/>
          <w:sz w:val="28"/>
          <w:szCs w:val="28"/>
        </w:rPr>
      </w:pPr>
    </w:p>
    <w:p w14:paraId="57E6E231" w14:textId="4F80669D" w:rsidR="00DA3267" w:rsidRDefault="00DA3267" w:rsidP="00616514">
      <w:pPr>
        <w:jc w:val="center"/>
        <w:rPr>
          <w:rFonts w:ascii="Arial" w:hAnsi="Arial" w:cs="Arial"/>
          <w:sz w:val="28"/>
          <w:szCs w:val="28"/>
        </w:rPr>
      </w:pPr>
    </w:p>
    <w:p w14:paraId="10A7A98D" w14:textId="77777777" w:rsidR="00D6509D" w:rsidRDefault="00D6509D" w:rsidP="00F039D4">
      <w:pPr>
        <w:spacing w:line="480" w:lineRule="auto"/>
        <w:jc w:val="right"/>
        <w:rPr>
          <w:rFonts w:ascii="Arial" w:hAnsi="Arial" w:cs="Arial"/>
          <w:i/>
          <w:iCs/>
          <w:sz w:val="24"/>
          <w:szCs w:val="24"/>
        </w:rPr>
      </w:pPr>
    </w:p>
    <w:p w14:paraId="6E60B90D" w14:textId="77777777" w:rsidR="00D6509D" w:rsidRDefault="00D6509D" w:rsidP="00F039D4">
      <w:pPr>
        <w:spacing w:line="480" w:lineRule="auto"/>
        <w:jc w:val="right"/>
        <w:rPr>
          <w:rFonts w:ascii="Arial" w:hAnsi="Arial" w:cs="Arial"/>
          <w:i/>
          <w:iCs/>
          <w:sz w:val="24"/>
          <w:szCs w:val="24"/>
        </w:rPr>
      </w:pPr>
    </w:p>
    <w:p w14:paraId="3DE8C543" w14:textId="472AAC57" w:rsidR="00D6509D" w:rsidRDefault="00D6509D" w:rsidP="00F039D4">
      <w:pPr>
        <w:spacing w:line="480" w:lineRule="auto"/>
        <w:jc w:val="right"/>
        <w:rPr>
          <w:rFonts w:ascii="Arial" w:hAnsi="Arial" w:cs="Arial"/>
          <w:i/>
          <w:iCs/>
          <w:sz w:val="24"/>
          <w:szCs w:val="24"/>
        </w:rPr>
      </w:pPr>
    </w:p>
    <w:p w14:paraId="4B2266A3" w14:textId="01C85DAD" w:rsidR="00AA3833" w:rsidRDefault="00AA3833" w:rsidP="00F039D4">
      <w:pPr>
        <w:spacing w:line="480" w:lineRule="auto"/>
        <w:jc w:val="right"/>
        <w:rPr>
          <w:rFonts w:ascii="Arial" w:hAnsi="Arial" w:cs="Arial"/>
          <w:i/>
          <w:iCs/>
          <w:sz w:val="24"/>
          <w:szCs w:val="24"/>
        </w:rPr>
      </w:pPr>
    </w:p>
    <w:p w14:paraId="7EBE5CE2" w14:textId="77777777" w:rsidR="00AA3833" w:rsidRDefault="00AA3833" w:rsidP="00F039D4">
      <w:pPr>
        <w:spacing w:line="480" w:lineRule="auto"/>
        <w:jc w:val="right"/>
        <w:rPr>
          <w:rFonts w:ascii="Arial" w:hAnsi="Arial" w:cs="Arial"/>
          <w:i/>
          <w:iCs/>
          <w:sz w:val="24"/>
          <w:szCs w:val="24"/>
        </w:rPr>
      </w:pPr>
    </w:p>
    <w:p w14:paraId="49B3E0BA" w14:textId="77777777" w:rsidR="003E7653" w:rsidRDefault="003E7653" w:rsidP="00B03A9A">
      <w:pPr>
        <w:pStyle w:val="Prrafodelista"/>
        <w:spacing w:line="480" w:lineRule="auto"/>
        <w:jc w:val="center"/>
        <w:rPr>
          <w:rFonts w:ascii="Arial" w:hAnsi="Arial" w:cs="Arial"/>
          <w:b/>
          <w:bCs/>
          <w:sz w:val="32"/>
          <w:szCs w:val="32"/>
        </w:rPr>
      </w:pPr>
    </w:p>
    <w:p w14:paraId="0455BA99" w14:textId="77777777" w:rsidR="003E7653" w:rsidRDefault="003E7653" w:rsidP="00B03A9A">
      <w:pPr>
        <w:pStyle w:val="Prrafodelista"/>
        <w:spacing w:line="480" w:lineRule="auto"/>
        <w:jc w:val="center"/>
        <w:rPr>
          <w:rFonts w:ascii="Arial" w:hAnsi="Arial" w:cs="Arial"/>
          <w:b/>
          <w:bCs/>
          <w:sz w:val="32"/>
          <w:szCs w:val="32"/>
        </w:rPr>
      </w:pPr>
    </w:p>
    <w:p w14:paraId="67E42B43" w14:textId="77777777" w:rsidR="003E7653" w:rsidRDefault="003E7653" w:rsidP="00B03A9A">
      <w:pPr>
        <w:pStyle w:val="Prrafodelista"/>
        <w:spacing w:line="480" w:lineRule="auto"/>
        <w:jc w:val="center"/>
        <w:rPr>
          <w:rFonts w:ascii="Arial" w:hAnsi="Arial" w:cs="Arial"/>
          <w:b/>
          <w:bCs/>
          <w:sz w:val="32"/>
          <w:szCs w:val="32"/>
        </w:rPr>
      </w:pPr>
    </w:p>
    <w:p w14:paraId="375CA592" w14:textId="77777777" w:rsidR="003E7653" w:rsidRDefault="003E7653" w:rsidP="00B03A9A">
      <w:pPr>
        <w:pStyle w:val="Prrafodelista"/>
        <w:spacing w:line="480" w:lineRule="auto"/>
        <w:jc w:val="center"/>
        <w:rPr>
          <w:rFonts w:ascii="Arial" w:hAnsi="Arial" w:cs="Arial"/>
          <w:b/>
          <w:bCs/>
          <w:sz w:val="32"/>
          <w:szCs w:val="32"/>
        </w:rPr>
      </w:pPr>
    </w:p>
    <w:p w14:paraId="7F48E55F" w14:textId="1B0E2264" w:rsidR="00D6509D" w:rsidRPr="0093786B" w:rsidRDefault="00D6509D" w:rsidP="00B03A9A">
      <w:pPr>
        <w:pStyle w:val="Prrafodelista"/>
        <w:spacing w:line="480" w:lineRule="auto"/>
        <w:jc w:val="center"/>
        <w:rPr>
          <w:rFonts w:ascii="Arial" w:hAnsi="Arial" w:cs="Arial"/>
          <w:b/>
          <w:bCs/>
          <w:sz w:val="32"/>
          <w:szCs w:val="32"/>
        </w:rPr>
      </w:pPr>
      <w:r w:rsidRPr="0093786B">
        <w:rPr>
          <w:rFonts w:ascii="Arial" w:hAnsi="Arial" w:cs="Arial"/>
          <w:b/>
          <w:bCs/>
          <w:sz w:val="32"/>
          <w:szCs w:val="32"/>
        </w:rPr>
        <w:t>INVESTIGACIÓN DOCUMENTAL</w:t>
      </w:r>
    </w:p>
    <w:p w14:paraId="70A0359B" w14:textId="77777777" w:rsidR="00D6509D" w:rsidRDefault="00D6509D" w:rsidP="00F039D4">
      <w:pPr>
        <w:spacing w:line="480" w:lineRule="auto"/>
        <w:jc w:val="right"/>
        <w:rPr>
          <w:rFonts w:ascii="Arial" w:hAnsi="Arial" w:cs="Arial"/>
          <w:i/>
          <w:iCs/>
          <w:sz w:val="24"/>
          <w:szCs w:val="24"/>
        </w:rPr>
      </w:pPr>
    </w:p>
    <w:p w14:paraId="13A2E960" w14:textId="77777777" w:rsidR="00D6509D" w:rsidRDefault="00D6509D" w:rsidP="00F039D4">
      <w:pPr>
        <w:spacing w:line="480" w:lineRule="auto"/>
        <w:jc w:val="right"/>
        <w:rPr>
          <w:rFonts w:ascii="Arial" w:hAnsi="Arial" w:cs="Arial"/>
          <w:i/>
          <w:iCs/>
          <w:sz w:val="24"/>
          <w:szCs w:val="24"/>
        </w:rPr>
      </w:pPr>
    </w:p>
    <w:p w14:paraId="52D07485" w14:textId="77777777" w:rsidR="003E7653" w:rsidRDefault="003E7653" w:rsidP="008B7EE7">
      <w:pPr>
        <w:spacing w:line="480" w:lineRule="auto"/>
        <w:rPr>
          <w:rFonts w:ascii="Arial" w:hAnsi="Arial" w:cs="Arial"/>
          <w:b/>
          <w:bCs/>
          <w:i/>
          <w:iCs/>
          <w:sz w:val="24"/>
          <w:szCs w:val="24"/>
        </w:rPr>
      </w:pPr>
    </w:p>
    <w:p w14:paraId="7848B205" w14:textId="77777777" w:rsidR="003E7653" w:rsidRDefault="003E7653" w:rsidP="00F039D4">
      <w:pPr>
        <w:spacing w:line="480" w:lineRule="auto"/>
        <w:jc w:val="right"/>
        <w:rPr>
          <w:rFonts w:ascii="Arial" w:hAnsi="Arial" w:cs="Arial"/>
          <w:b/>
          <w:bCs/>
          <w:i/>
          <w:iCs/>
          <w:sz w:val="24"/>
          <w:szCs w:val="24"/>
        </w:rPr>
      </w:pPr>
    </w:p>
    <w:p w14:paraId="7B1D2DE1" w14:textId="59A58B34" w:rsidR="003E7653" w:rsidRPr="00D05B70" w:rsidRDefault="003E7653" w:rsidP="00D05B70">
      <w:pPr>
        <w:pStyle w:val="Ttulo1"/>
        <w:spacing w:line="360" w:lineRule="auto"/>
        <w:jc w:val="center"/>
        <w:rPr>
          <w:rFonts w:ascii="Arial" w:hAnsi="Arial" w:cs="Arial"/>
          <w:bCs/>
          <w:sz w:val="24"/>
          <w:szCs w:val="24"/>
        </w:rPr>
      </w:pPr>
      <w:bookmarkStart w:id="1" w:name="_Toc214138121"/>
      <w:r w:rsidRPr="00D05B70">
        <w:rPr>
          <w:rFonts w:ascii="Arial" w:hAnsi="Arial" w:cs="Arial"/>
          <w:bCs/>
          <w:sz w:val="24"/>
          <w:szCs w:val="24"/>
        </w:rPr>
        <w:lastRenderedPageBreak/>
        <w:t xml:space="preserve">Unidad 1: </w:t>
      </w:r>
      <w:r w:rsidRPr="00D05B70">
        <w:rPr>
          <w:rFonts w:ascii="Arial" w:hAnsi="Arial" w:cs="Arial"/>
          <w:sz w:val="24"/>
          <w:szCs w:val="24"/>
        </w:rPr>
        <w:t>El servicio. Perspectivas generales</w:t>
      </w:r>
      <w:bookmarkEnd w:id="1"/>
    </w:p>
    <w:p w14:paraId="51267B48" w14:textId="77777777" w:rsidR="003E7653" w:rsidRPr="00D05B70" w:rsidRDefault="003E7653" w:rsidP="00D05B70">
      <w:pPr>
        <w:spacing w:line="360" w:lineRule="auto"/>
        <w:jc w:val="both"/>
        <w:rPr>
          <w:rFonts w:ascii="Arial" w:hAnsi="Arial" w:cs="Arial"/>
          <w:i/>
          <w:sz w:val="24"/>
          <w:szCs w:val="24"/>
        </w:rPr>
      </w:pPr>
      <w:r w:rsidRPr="00D05B70">
        <w:rPr>
          <w:rFonts w:ascii="Arial" w:hAnsi="Arial" w:cs="Arial"/>
          <w:i/>
          <w:sz w:val="24"/>
          <w:szCs w:val="24"/>
        </w:rPr>
        <w:t xml:space="preserve">1.1 Los servicios. </w:t>
      </w:r>
    </w:p>
    <w:p w14:paraId="5C4E17CC" w14:textId="77777777" w:rsidR="003E7653" w:rsidRPr="00D05B70" w:rsidRDefault="003E7653" w:rsidP="00D05B70">
      <w:pPr>
        <w:spacing w:line="360" w:lineRule="auto"/>
        <w:jc w:val="both"/>
        <w:rPr>
          <w:rFonts w:ascii="Arial" w:hAnsi="Arial" w:cs="Arial"/>
          <w:i/>
          <w:sz w:val="24"/>
          <w:szCs w:val="24"/>
        </w:rPr>
      </w:pPr>
      <w:r w:rsidRPr="00D05B70">
        <w:rPr>
          <w:rFonts w:ascii="Arial" w:hAnsi="Arial" w:cs="Arial"/>
          <w:i/>
          <w:sz w:val="24"/>
          <w:szCs w:val="24"/>
        </w:rPr>
        <w:t xml:space="preserve">1.1.1 Naturaleza del servicio (intangibilidad, inseparabilidad, variabilidad, perecibilidad). </w:t>
      </w:r>
    </w:p>
    <w:p w14:paraId="34F34C26" w14:textId="77777777" w:rsidR="003E7653" w:rsidRPr="00D05B70" w:rsidRDefault="003E7653" w:rsidP="00D05B70">
      <w:pPr>
        <w:spacing w:line="360" w:lineRule="auto"/>
        <w:jc w:val="both"/>
        <w:rPr>
          <w:rFonts w:ascii="Arial" w:hAnsi="Arial" w:cs="Arial"/>
          <w:i/>
          <w:sz w:val="24"/>
          <w:szCs w:val="24"/>
        </w:rPr>
      </w:pPr>
      <w:r w:rsidRPr="00D05B70">
        <w:rPr>
          <w:rFonts w:ascii="Arial" w:hAnsi="Arial" w:cs="Arial"/>
          <w:i/>
          <w:sz w:val="24"/>
          <w:szCs w:val="24"/>
        </w:rPr>
        <w:t xml:space="preserve">1.1.2 Momentos de verdad. </w:t>
      </w:r>
    </w:p>
    <w:p w14:paraId="1695A2E7" w14:textId="77777777" w:rsidR="003E7653" w:rsidRPr="00D05B70" w:rsidRDefault="003E7653" w:rsidP="00D05B70">
      <w:pPr>
        <w:spacing w:line="360" w:lineRule="auto"/>
        <w:jc w:val="both"/>
        <w:rPr>
          <w:rFonts w:ascii="Arial" w:hAnsi="Arial" w:cs="Arial"/>
          <w:i/>
          <w:sz w:val="24"/>
          <w:szCs w:val="24"/>
        </w:rPr>
      </w:pPr>
      <w:r w:rsidRPr="00D05B70">
        <w:rPr>
          <w:rFonts w:ascii="Arial" w:hAnsi="Arial" w:cs="Arial"/>
          <w:i/>
          <w:sz w:val="24"/>
          <w:szCs w:val="24"/>
        </w:rPr>
        <w:t xml:space="preserve">1.1.3 Lógica dominante del servicio. </w:t>
      </w:r>
    </w:p>
    <w:p w14:paraId="6D809866" w14:textId="059732E4" w:rsidR="003E7653" w:rsidRPr="00D05B70" w:rsidRDefault="003E7653" w:rsidP="00D05B70">
      <w:pPr>
        <w:spacing w:line="360" w:lineRule="auto"/>
        <w:jc w:val="both"/>
        <w:rPr>
          <w:rFonts w:ascii="Arial" w:hAnsi="Arial" w:cs="Arial"/>
          <w:i/>
          <w:sz w:val="24"/>
          <w:szCs w:val="24"/>
        </w:rPr>
      </w:pPr>
      <w:r w:rsidRPr="00D05B70">
        <w:rPr>
          <w:rFonts w:ascii="Arial" w:hAnsi="Arial" w:cs="Arial"/>
          <w:i/>
          <w:sz w:val="24"/>
          <w:szCs w:val="24"/>
        </w:rPr>
        <w:t>1.1.4 7Ps ampliadas.</w:t>
      </w:r>
    </w:p>
    <w:p w14:paraId="561650D9" w14:textId="00EBC66E" w:rsidR="003E7653" w:rsidRPr="00D05B70" w:rsidRDefault="003E7653" w:rsidP="00D05B70">
      <w:pPr>
        <w:spacing w:line="360" w:lineRule="auto"/>
        <w:jc w:val="both"/>
        <w:rPr>
          <w:rFonts w:ascii="Arial" w:hAnsi="Arial" w:cs="Arial"/>
          <w:sz w:val="24"/>
          <w:szCs w:val="24"/>
        </w:rPr>
      </w:pPr>
      <w:r w:rsidRPr="00D05B70">
        <w:rPr>
          <w:rFonts w:ascii="Arial" w:hAnsi="Arial" w:cs="Arial"/>
          <w:sz w:val="24"/>
          <w:szCs w:val="24"/>
        </w:rPr>
        <w:t>Realicé esta actividad de forma individual, trabajando de manera autónoma en cada uno de sus elementos.</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3E7653" w:rsidRPr="00D05B70" w14:paraId="531F9091" w14:textId="77777777" w:rsidTr="001B4699">
        <w:tc>
          <w:tcPr>
            <w:tcW w:w="2836" w:type="dxa"/>
            <w:shd w:val="clear" w:color="auto" w:fill="F2F2F2"/>
          </w:tcPr>
          <w:p w14:paraId="6ACA0B33" w14:textId="77777777" w:rsidR="003E7653" w:rsidRPr="00D05B70" w:rsidRDefault="003E7653" w:rsidP="00D05B70">
            <w:pPr>
              <w:autoSpaceDE w:val="0"/>
              <w:autoSpaceDN w:val="0"/>
              <w:adjustRightInd w:val="0"/>
              <w:spacing w:line="360" w:lineRule="auto"/>
              <w:rPr>
                <w:rFonts w:ascii="Arial" w:eastAsia="Calibri" w:hAnsi="Arial" w:cs="Arial"/>
                <w:color w:val="002060"/>
                <w:sz w:val="24"/>
                <w:szCs w:val="24"/>
                <w:lang w:val="es-ES"/>
              </w:rPr>
            </w:pPr>
            <w:r w:rsidRPr="00D05B70">
              <w:rPr>
                <w:rFonts w:ascii="Arial" w:eastAsia="Calibri" w:hAnsi="Arial" w:cs="Arial"/>
                <w:color w:val="002060"/>
                <w:sz w:val="24"/>
                <w:szCs w:val="24"/>
                <w:lang w:val="es-ES"/>
              </w:rPr>
              <w:t>Tema:</w:t>
            </w:r>
          </w:p>
        </w:tc>
        <w:tc>
          <w:tcPr>
            <w:tcW w:w="7229" w:type="dxa"/>
          </w:tcPr>
          <w:p w14:paraId="390A16F5" w14:textId="2602FBFA" w:rsidR="003E7653" w:rsidRPr="00D05B70" w:rsidRDefault="005C67E5" w:rsidP="00D05B70">
            <w:pPr>
              <w:autoSpaceDE w:val="0"/>
              <w:autoSpaceDN w:val="0"/>
              <w:adjustRightInd w:val="0"/>
              <w:spacing w:line="360" w:lineRule="auto"/>
              <w:jc w:val="center"/>
              <w:rPr>
                <w:rFonts w:ascii="Arial" w:eastAsia="Calibri" w:hAnsi="Arial" w:cs="Arial"/>
                <w:b/>
                <w:sz w:val="24"/>
                <w:szCs w:val="24"/>
                <w:lang w:val="es-ES"/>
              </w:rPr>
            </w:pPr>
            <w:r w:rsidRPr="00D05B70">
              <w:rPr>
                <w:rFonts w:ascii="Arial" w:hAnsi="Arial" w:cs="Arial"/>
                <w:b/>
                <w:sz w:val="24"/>
                <w:szCs w:val="24"/>
              </w:rPr>
              <w:t>Las 7Ps del Marketing de Servicios</w:t>
            </w:r>
          </w:p>
        </w:tc>
      </w:tr>
    </w:tbl>
    <w:p w14:paraId="7CF9E32A" w14:textId="77777777" w:rsidR="003E7653" w:rsidRPr="00D05B70" w:rsidRDefault="003E7653" w:rsidP="00D05B70">
      <w:pPr>
        <w:autoSpaceDE w:val="0"/>
        <w:autoSpaceDN w:val="0"/>
        <w:adjustRightInd w:val="0"/>
        <w:spacing w:line="360" w:lineRule="auto"/>
        <w:ind w:left="1080"/>
        <w:rPr>
          <w:rFonts w:ascii="Arial" w:eastAsia="Calibri" w:hAnsi="Arial" w:cs="Arial"/>
          <w:color w:val="002060"/>
          <w:sz w:val="24"/>
          <w:szCs w:val="24"/>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3"/>
        <w:gridCol w:w="9072"/>
      </w:tblGrid>
      <w:tr w:rsidR="003E7653" w:rsidRPr="00D05B70" w14:paraId="4546FA7C" w14:textId="77777777" w:rsidTr="001B4699">
        <w:tc>
          <w:tcPr>
            <w:tcW w:w="10065" w:type="dxa"/>
            <w:gridSpan w:val="2"/>
            <w:shd w:val="clear" w:color="auto" w:fill="F2F2F2"/>
          </w:tcPr>
          <w:p w14:paraId="198CAFF5" w14:textId="77777777" w:rsidR="003E7653" w:rsidRPr="00D05B70" w:rsidRDefault="003E7653" w:rsidP="00D05B70">
            <w:pPr>
              <w:autoSpaceDE w:val="0"/>
              <w:autoSpaceDN w:val="0"/>
              <w:adjustRightInd w:val="0"/>
              <w:spacing w:line="360" w:lineRule="auto"/>
              <w:rPr>
                <w:rFonts w:ascii="Arial" w:eastAsia="Calibri" w:hAnsi="Arial" w:cs="Arial"/>
                <w:b/>
                <w:color w:val="002060"/>
                <w:sz w:val="24"/>
                <w:szCs w:val="24"/>
                <w:lang w:val="es-ES"/>
              </w:rPr>
            </w:pPr>
            <w:r w:rsidRPr="00D05B70">
              <w:rPr>
                <w:rFonts w:ascii="Arial" w:eastAsia="Calibri" w:hAnsi="Arial" w:cs="Arial"/>
                <w:b/>
                <w:color w:val="002060"/>
                <w:sz w:val="24"/>
                <w:szCs w:val="24"/>
                <w:lang w:val="es-ES"/>
              </w:rPr>
              <w:t>Ficha de la fuente de información.</w:t>
            </w:r>
          </w:p>
        </w:tc>
      </w:tr>
      <w:tr w:rsidR="003E7653" w:rsidRPr="00D05B70" w14:paraId="2B04165C" w14:textId="77777777" w:rsidTr="00D05B70">
        <w:trPr>
          <w:trHeight w:val="763"/>
        </w:trPr>
        <w:tc>
          <w:tcPr>
            <w:tcW w:w="993" w:type="dxa"/>
          </w:tcPr>
          <w:p w14:paraId="4F042E87" w14:textId="77777777" w:rsidR="003E7653" w:rsidRPr="00D05B70" w:rsidRDefault="003E7653" w:rsidP="00D05B70">
            <w:pPr>
              <w:autoSpaceDE w:val="0"/>
              <w:autoSpaceDN w:val="0"/>
              <w:adjustRightInd w:val="0"/>
              <w:spacing w:line="360" w:lineRule="auto"/>
              <w:rPr>
                <w:rFonts w:ascii="Arial" w:eastAsia="Calibri" w:hAnsi="Arial" w:cs="Arial"/>
                <w:color w:val="002060"/>
                <w:sz w:val="24"/>
                <w:szCs w:val="24"/>
                <w:lang w:val="es-ES"/>
              </w:rPr>
            </w:pPr>
            <w:r w:rsidRPr="00D05B70">
              <w:rPr>
                <w:rFonts w:ascii="Arial" w:eastAsia="Calibri" w:hAnsi="Arial" w:cs="Arial"/>
                <w:color w:val="002060"/>
                <w:sz w:val="24"/>
                <w:szCs w:val="24"/>
                <w:lang w:val="es-ES"/>
              </w:rPr>
              <w:t>No. 1</w:t>
            </w:r>
          </w:p>
        </w:tc>
        <w:tc>
          <w:tcPr>
            <w:tcW w:w="9072" w:type="dxa"/>
          </w:tcPr>
          <w:p w14:paraId="6E79D5D2" w14:textId="5B89668F" w:rsidR="003E7653" w:rsidRPr="00D05B70" w:rsidRDefault="003E7653" w:rsidP="00D05B70">
            <w:pPr>
              <w:autoSpaceDE w:val="0"/>
              <w:autoSpaceDN w:val="0"/>
              <w:adjustRightInd w:val="0"/>
              <w:spacing w:line="360" w:lineRule="auto"/>
              <w:rPr>
                <w:rFonts w:ascii="Arial" w:eastAsia="Calibri" w:hAnsi="Arial" w:cs="Arial"/>
                <w:i/>
                <w:color w:val="002060"/>
                <w:sz w:val="24"/>
                <w:szCs w:val="24"/>
                <w:lang w:val="es-ES"/>
              </w:rPr>
            </w:pPr>
            <w:r w:rsidRPr="00D05B70">
              <w:rPr>
                <w:rFonts w:ascii="Arial" w:eastAsia="Calibri" w:hAnsi="Arial" w:cs="Arial"/>
                <w:i/>
                <w:sz w:val="24"/>
                <w:szCs w:val="24"/>
                <w:lang w:val="es-ES"/>
              </w:rPr>
              <w:t>Google académico</w:t>
            </w:r>
          </w:p>
          <w:p w14:paraId="530CBEE4" w14:textId="77777777" w:rsidR="003E7653" w:rsidRPr="00D05B70" w:rsidRDefault="003E7653" w:rsidP="00D05B70">
            <w:pPr>
              <w:spacing w:line="360" w:lineRule="auto"/>
              <w:rPr>
                <w:rFonts w:ascii="Arial" w:eastAsia="Calibri" w:hAnsi="Arial" w:cs="Arial"/>
                <w:sz w:val="24"/>
                <w:szCs w:val="24"/>
                <w:lang w:val="es-ES"/>
              </w:rPr>
            </w:pPr>
            <w:r w:rsidRPr="00D05B70">
              <w:rPr>
                <w:rFonts w:ascii="Arial" w:eastAsia="Calibri" w:hAnsi="Arial" w:cs="Arial"/>
                <w:color w:val="002060"/>
                <w:sz w:val="24"/>
                <w:szCs w:val="24"/>
                <w:lang w:val="es-ES"/>
              </w:rPr>
              <w:t xml:space="preserve"> </w:t>
            </w:r>
          </w:p>
        </w:tc>
      </w:tr>
      <w:tr w:rsidR="003E7653" w:rsidRPr="00D05B70" w14:paraId="2708E893" w14:textId="77777777" w:rsidTr="001B4699">
        <w:tc>
          <w:tcPr>
            <w:tcW w:w="10065" w:type="dxa"/>
            <w:gridSpan w:val="2"/>
          </w:tcPr>
          <w:p w14:paraId="56DA7F9E" w14:textId="010BC6CF" w:rsidR="003E7653" w:rsidRPr="00D05B70" w:rsidRDefault="003E7653" w:rsidP="00D05B70">
            <w:pPr>
              <w:autoSpaceDE w:val="0"/>
              <w:autoSpaceDN w:val="0"/>
              <w:adjustRightInd w:val="0"/>
              <w:spacing w:line="360" w:lineRule="auto"/>
              <w:rPr>
                <w:rFonts w:ascii="Arial" w:hAnsi="Arial" w:cs="Arial"/>
                <w:noProof/>
                <w:sz w:val="24"/>
                <w:szCs w:val="24"/>
                <w:lang w:eastAsia="es-MX"/>
              </w:rPr>
            </w:pPr>
            <w:r w:rsidRPr="00D05B70">
              <w:rPr>
                <w:rFonts w:ascii="Arial" w:eastAsia="Calibri" w:hAnsi="Arial" w:cs="Arial"/>
                <w:color w:val="002060"/>
                <w:sz w:val="24"/>
                <w:szCs w:val="24"/>
                <w:lang w:val="es-ES"/>
              </w:rPr>
              <w:t xml:space="preserve">Palabras claves. </w:t>
            </w:r>
            <w:r w:rsidR="005C67E5" w:rsidRPr="00D05B70">
              <w:rPr>
                <w:rFonts w:ascii="Arial" w:hAnsi="Arial" w:cs="Arial"/>
                <w:sz w:val="24"/>
                <w:szCs w:val="24"/>
              </w:rPr>
              <w:t>Marketing de servicios, 7Ps, mezcla ampliada, servicios, gestión de clientes.</w:t>
            </w:r>
          </w:p>
          <w:p w14:paraId="175EB315" w14:textId="77777777" w:rsidR="003E7653" w:rsidRPr="00D05B70" w:rsidRDefault="003E7653" w:rsidP="00D05B70">
            <w:pPr>
              <w:autoSpaceDE w:val="0"/>
              <w:autoSpaceDN w:val="0"/>
              <w:adjustRightInd w:val="0"/>
              <w:spacing w:line="360" w:lineRule="auto"/>
              <w:rPr>
                <w:rFonts w:ascii="Arial" w:eastAsia="Calibri" w:hAnsi="Arial" w:cs="Arial"/>
                <w:color w:val="002060"/>
                <w:sz w:val="24"/>
                <w:szCs w:val="24"/>
                <w:lang w:val="es-ES"/>
              </w:rPr>
            </w:pPr>
          </w:p>
        </w:tc>
      </w:tr>
      <w:tr w:rsidR="003E7653" w:rsidRPr="00D05B70" w14:paraId="169D3284" w14:textId="77777777" w:rsidTr="001B4699">
        <w:tc>
          <w:tcPr>
            <w:tcW w:w="10065" w:type="dxa"/>
            <w:gridSpan w:val="2"/>
          </w:tcPr>
          <w:p w14:paraId="1BCF0EDF" w14:textId="77777777" w:rsidR="003E7653" w:rsidRPr="00D05B70" w:rsidRDefault="003E7653" w:rsidP="00D05B70">
            <w:pPr>
              <w:autoSpaceDE w:val="0"/>
              <w:autoSpaceDN w:val="0"/>
              <w:adjustRightInd w:val="0"/>
              <w:spacing w:line="360" w:lineRule="auto"/>
              <w:rPr>
                <w:rFonts w:ascii="Arial" w:eastAsia="Calibri" w:hAnsi="Arial" w:cs="Arial"/>
                <w:color w:val="002060"/>
                <w:sz w:val="24"/>
                <w:szCs w:val="24"/>
                <w:lang w:val="es-ES"/>
              </w:rPr>
            </w:pPr>
            <w:r w:rsidRPr="00D05B70">
              <w:rPr>
                <w:rFonts w:ascii="Arial" w:eastAsia="Calibri" w:hAnsi="Arial" w:cs="Arial"/>
                <w:color w:val="002060"/>
                <w:sz w:val="24"/>
                <w:szCs w:val="24"/>
                <w:lang w:val="es-ES"/>
              </w:rPr>
              <w:t>Referencia APA.</w:t>
            </w:r>
          </w:p>
          <w:p w14:paraId="775F1B09" w14:textId="236127B6" w:rsidR="003E7653" w:rsidRPr="00D05B70" w:rsidRDefault="005C67E5" w:rsidP="00D05B70">
            <w:pPr>
              <w:autoSpaceDE w:val="0"/>
              <w:autoSpaceDN w:val="0"/>
              <w:adjustRightInd w:val="0"/>
              <w:spacing w:line="360" w:lineRule="auto"/>
              <w:ind w:left="720" w:hanging="720"/>
              <w:rPr>
                <w:rFonts w:ascii="Arial" w:eastAsia="Calibri" w:hAnsi="Arial" w:cs="Arial"/>
                <w:sz w:val="24"/>
                <w:szCs w:val="24"/>
                <w:lang w:val="es-ES"/>
              </w:rPr>
            </w:pPr>
            <w:r w:rsidRPr="00D05B70">
              <w:rPr>
                <w:rFonts w:ascii="Arial" w:hAnsi="Arial" w:cs="Arial"/>
                <w:sz w:val="24"/>
                <w:szCs w:val="24"/>
              </w:rPr>
              <w:t xml:space="preserve">Lovelock, C., &amp; Wirtz, J. (2011). </w:t>
            </w:r>
            <w:r w:rsidRPr="00D05B70">
              <w:rPr>
                <w:rStyle w:val="nfasis"/>
                <w:rFonts w:ascii="Arial" w:hAnsi="Arial" w:cs="Arial"/>
                <w:sz w:val="24"/>
                <w:szCs w:val="24"/>
              </w:rPr>
              <w:t>Marketing de servicios: Personal, tecnología y estrategia</w:t>
            </w:r>
            <w:r w:rsidRPr="00D05B70">
              <w:rPr>
                <w:rFonts w:ascii="Arial" w:hAnsi="Arial" w:cs="Arial"/>
                <w:sz w:val="24"/>
                <w:szCs w:val="24"/>
              </w:rPr>
              <w:t>. Pearson Educación.</w:t>
            </w:r>
          </w:p>
        </w:tc>
      </w:tr>
      <w:tr w:rsidR="003E7653" w:rsidRPr="00D05B70" w14:paraId="663FF618" w14:textId="77777777" w:rsidTr="001B4699">
        <w:tc>
          <w:tcPr>
            <w:tcW w:w="10065" w:type="dxa"/>
            <w:gridSpan w:val="2"/>
          </w:tcPr>
          <w:p w14:paraId="27A7AA60" w14:textId="77777777" w:rsidR="003E7653" w:rsidRPr="00D05B70" w:rsidRDefault="003E7653" w:rsidP="00D05B70">
            <w:pPr>
              <w:autoSpaceDE w:val="0"/>
              <w:autoSpaceDN w:val="0"/>
              <w:adjustRightInd w:val="0"/>
              <w:spacing w:line="360" w:lineRule="auto"/>
              <w:jc w:val="center"/>
              <w:rPr>
                <w:rFonts w:ascii="Arial" w:eastAsia="Calibri" w:hAnsi="Arial" w:cs="Arial"/>
                <w:color w:val="002060"/>
                <w:sz w:val="24"/>
                <w:szCs w:val="24"/>
                <w:lang w:val="es-ES"/>
              </w:rPr>
            </w:pPr>
            <w:r w:rsidRPr="00D05B70">
              <w:rPr>
                <w:rFonts w:ascii="Arial" w:eastAsia="Calibri" w:hAnsi="Arial" w:cs="Arial"/>
                <w:color w:val="002060"/>
                <w:sz w:val="24"/>
                <w:szCs w:val="24"/>
                <w:lang w:val="es-ES"/>
              </w:rPr>
              <w:lastRenderedPageBreak/>
              <w:t>RESUMEN (si la información es tomada de un artículo)</w:t>
            </w:r>
          </w:p>
        </w:tc>
      </w:tr>
      <w:tr w:rsidR="003E7653" w:rsidRPr="00D05B70" w14:paraId="6D5EE1C2" w14:textId="77777777" w:rsidTr="001B4699">
        <w:tc>
          <w:tcPr>
            <w:tcW w:w="10065" w:type="dxa"/>
            <w:gridSpan w:val="2"/>
          </w:tcPr>
          <w:p w14:paraId="3ED0F306" w14:textId="77777777" w:rsidR="003E7653" w:rsidRPr="00D05B70" w:rsidRDefault="003E7653" w:rsidP="00D05B70">
            <w:pPr>
              <w:autoSpaceDE w:val="0"/>
              <w:autoSpaceDN w:val="0"/>
              <w:adjustRightInd w:val="0"/>
              <w:spacing w:line="360" w:lineRule="auto"/>
              <w:rPr>
                <w:rFonts w:ascii="Arial" w:hAnsi="Arial" w:cs="Arial"/>
                <w:noProof/>
                <w:sz w:val="24"/>
                <w:szCs w:val="24"/>
                <w:lang w:eastAsia="es-MX"/>
              </w:rPr>
            </w:pPr>
          </w:p>
          <w:p w14:paraId="0A94B32B" w14:textId="7DE3D797" w:rsidR="003E7653" w:rsidRPr="00D05B70" w:rsidRDefault="005C67E5" w:rsidP="00D05B70">
            <w:pPr>
              <w:autoSpaceDE w:val="0"/>
              <w:autoSpaceDN w:val="0"/>
              <w:adjustRightInd w:val="0"/>
              <w:spacing w:line="360" w:lineRule="auto"/>
              <w:jc w:val="both"/>
              <w:rPr>
                <w:rFonts w:ascii="Arial" w:hAnsi="Arial" w:cs="Arial"/>
                <w:noProof/>
                <w:sz w:val="24"/>
                <w:szCs w:val="24"/>
                <w:lang w:eastAsia="es-MX"/>
              </w:rPr>
            </w:pPr>
            <w:r w:rsidRPr="00D05B70">
              <w:rPr>
                <w:rFonts w:ascii="Arial" w:hAnsi="Arial" w:cs="Arial"/>
                <w:sz w:val="24"/>
                <w:szCs w:val="24"/>
              </w:rPr>
              <w:t>El texto aborda la mezcla ampliada de marketing para servicios, conocida como las 7Ps: producto, precio, plaza, promoción, personas, procesos y evidencia física. Los autores explican que, a diferencia de los productos tangibles, los servicios requieren considerar factores adicionales relacionados con la experiencia del cliente, como la interacción con el personal, la consistencia de los procesos y los elementos físicos que rodean el servicio. Asimismo, el artículo destaca que la correcta gestión de estas siete variables permite mejorar la percepción del cliente, aumentar la calidad del servicio y fortalecer la competitividad en mercados altamente cambiantes.</w:t>
            </w:r>
          </w:p>
          <w:p w14:paraId="05AA3278" w14:textId="77777777" w:rsidR="003E7653" w:rsidRPr="00D05B70" w:rsidRDefault="003E7653" w:rsidP="00D05B70">
            <w:pPr>
              <w:autoSpaceDE w:val="0"/>
              <w:autoSpaceDN w:val="0"/>
              <w:adjustRightInd w:val="0"/>
              <w:spacing w:line="360" w:lineRule="auto"/>
              <w:rPr>
                <w:rFonts w:ascii="Arial" w:eastAsia="Calibri" w:hAnsi="Arial" w:cs="Arial"/>
                <w:color w:val="002060"/>
                <w:sz w:val="24"/>
                <w:szCs w:val="24"/>
                <w:lang w:val="es-ES"/>
              </w:rPr>
            </w:pPr>
          </w:p>
        </w:tc>
      </w:tr>
    </w:tbl>
    <w:p w14:paraId="6C07CA35" w14:textId="77777777" w:rsidR="003E7653" w:rsidRPr="00D05B70" w:rsidRDefault="003E7653" w:rsidP="00D05B70">
      <w:pPr>
        <w:autoSpaceDE w:val="0"/>
        <w:autoSpaceDN w:val="0"/>
        <w:adjustRightInd w:val="0"/>
        <w:spacing w:line="360" w:lineRule="auto"/>
        <w:rPr>
          <w:rFonts w:ascii="Arial" w:eastAsia="Calibri" w:hAnsi="Arial" w:cs="Arial"/>
          <w:color w:val="002060"/>
          <w:sz w:val="24"/>
          <w:szCs w:val="24"/>
          <w:lang w:val="es-ES"/>
        </w:rPr>
      </w:pPr>
    </w:p>
    <w:tbl>
      <w:tblPr>
        <w:tblW w:w="9923"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3E7653" w:rsidRPr="00D05B70" w14:paraId="4CCB0EDA" w14:textId="77777777" w:rsidTr="001B4699">
        <w:tc>
          <w:tcPr>
            <w:tcW w:w="9923" w:type="dxa"/>
            <w:shd w:val="clear" w:color="auto" w:fill="D9D9D9"/>
          </w:tcPr>
          <w:p w14:paraId="01E5417A" w14:textId="77777777" w:rsidR="003E7653" w:rsidRPr="00D05B70" w:rsidRDefault="003E7653" w:rsidP="00D05B70">
            <w:pPr>
              <w:autoSpaceDE w:val="0"/>
              <w:autoSpaceDN w:val="0"/>
              <w:adjustRightInd w:val="0"/>
              <w:spacing w:line="360" w:lineRule="auto"/>
              <w:jc w:val="center"/>
              <w:rPr>
                <w:rFonts w:ascii="Arial" w:eastAsia="Calibri" w:hAnsi="Arial" w:cs="Arial"/>
                <w:color w:val="002060"/>
                <w:sz w:val="24"/>
                <w:szCs w:val="24"/>
                <w:lang w:val="es-ES"/>
              </w:rPr>
            </w:pPr>
            <w:r w:rsidRPr="00D05B70">
              <w:rPr>
                <w:rFonts w:ascii="Arial" w:eastAsia="Calibri" w:hAnsi="Arial" w:cs="Arial"/>
                <w:color w:val="002060"/>
                <w:sz w:val="24"/>
                <w:szCs w:val="24"/>
                <w:lang w:val="es-ES"/>
              </w:rPr>
              <w:t>Texto (literal con número de página)</w:t>
            </w:r>
          </w:p>
          <w:p w14:paraId="530DA04A" w14:textId="77777777" w:rsidR="003E7653" w:rsidRPr="00D05B70" w:rsidRDefault="003E7653" w:rsidP="00D05B70">
            <w:pPr>
              <w:autoSpaceDE w:val="0"/>
              <w:autoSpaceDN w:val="0"/>
              <w:adjustRightInd w:val="0"/>
              <w:spacing w:line="360" w:lineRule="auto"/>
              <w:jc w:val="center"/>
              <w:rPr>
                <w:rFonts w:ascii="Arial" w:eastAsia="Calibri" w:hAnsi="Arial" w:cs="Arial"/>
                <w:b/>
                <w:color w:val="002060"/>
                <w:sz w:val="24"/>
                <w:szCs w:val="24"/>
                <w:lang w:val="es-ES"/>
              </w:rPr>
            </w:pPr>
          </w:p>
        </w:tc>
      </w:tr>
      <w:tr w:rsidR="003E7653" w:rsidRPr="00D05B70" w14:paraId="646837A4" w14:textId="77777777" w:rsidTr="001B4699">
        <w:tc>
          <w:tcPr>
            <w:tcW w:w="9923" w:type="dxa"/>
          </w:tcPr>
          <w:p w14:paraId="7B585A9B" w14:textId="1659C1EA" w:rsidR="005C67E5" w:rsidRPr="00D05B70" w:rsidRDefault="005C67E5" w:rsidP="00D05B70">
            <w:pPr>
              <w:autoSpaceDE w:val="0"/>
              <w:autoSpaceDN w:val="0"/>
              <w:adjustRightInd w:val="0"/>
              <w:spacing w:line="360" w:lineRule="auto"/>
              <w:jc w:val="both"/>
              <w:rPr>
                <w:rFonts w:ascii="Arial" w:hAnsi="Arial" w:cs="Arial"/>
                <w:b/>
                <w:sz w:val="24"/>
                <w:szCs w:val="24"/>
              </w:rPr>
            </w:pPr>
            <w:r w:rsidRPr="00D05B70">
              <w:rPr>
                <w:rFonts w:ascii="Arial" w:hAnsi="Arial" w:cs="Arial"/>
                <w:b/>
                <w:sz w:val="24"/>
                <w:szCs w:val="24"/>
              </w:rPr>
              <w:t>Introducción</w:t>
            </w:r>
          </w:p>
          <w:p w14:paraId="20468AC2" w14:textId="0B84A91C" w:rsidR="003E7653" w:rsidRPr="00D05B70" w:rsidRDefault="005C67E5" w:rsidP="00D05B70">
            <w:pPr>
              <w:autoSpaceDE w:val="0"/>
              <w:autoSpaceDN w:val="0"/>
              <w:adjustRightInd w:val="0"/>
              <w:spacing w:line="360" w:lineRule="auto"/>
              <w:jc w:val="both"/>
              <w:rPr>
                <w:rFonts w:ascii="Arial" w:hAnsi="Arial" w:cs="Arial"/>
                <w:noProof/>
                <w:sz w:val="24"/>
                <w:szCs w:val="24"/>
                <w:lang w:eastAsia="es-MX"/>
              </w:rPr>
            </w:pPr>
            <w:r w:rsidRPr="00D05B70">
              <w:rPr>
                <w:rFonts w:ascii="Arial" w:hAnsi="Arial" w:cs="Arial"/>
                <w:sz w:val="24"/>
                <w:szCs w:val="24"/>
              </w:rPr>
              <w:t>El artículo presenta la ampliación de la mezcla de marketing tradicional, mostrando cómo las 7Ps permiten gestionar la prestación de servicios con mayor precisión. Esta perspectiva reconoce que los servicios son intangibles, variables e inseparables del proveedor, por lo que requieren herramientas adicionales para asegurar una experiencia satisfactoria. Los autores detallan cada una de las Ps y su relación con la calidad del servicio y la toma de decisiones estratégicas dentro de las organizaciones.</w:t>
            </w:r>
          </w:p>
          <w:p w14:paraId="38224963" w14:textId="77777777" w:rsidR="005C67E5" w:rsidRPr="00D05B70" w:rsidRDefault="005C67E5" w:rsidP="00D05B70">
            <w:pPr>
              <w:spacing w:before="100" w:beforeAutospacing="1" w:after="100" w:afterAutospacing="1" w:line="360" w:lineRule="auto"/>
              <w:jc w:val="both"/>
              <w:outlineLvl w:val="2"/>
              <w:rPr>
                <w:rFonts w:ascii="Arial" w:eastAsia="Times New Roman" w:hAnsi="Arial" w:cs="Arial"/>
                <w:b/>
                <w:bCs/>
                <w:sz w:val="24"/>
                <w:szCs w:val="24"/>
                <w:lang w:eastAsia="es-MX"/>
              </w:rPr>
            </w:pPr>
            <w:bookmarkStart w:id="2" w:name="_Toc214137669"/>
            <w:bookmarkStart w:id="3" w:name="_Toc214138122"/>
            <w:r w:rsidRPr="00D05B70">
              <w:rPr>
                <w:rFonts w:ascii="Arial" w:eastAsia="Times New Roman" w:hAnsi="Arial" w:cs="Arial"/>
                <w:b/>
                <w:bCs/>
                <w:sz w:val="24"/>
                <w:szCs w:val="24"/>
                <w:lang w:eastAsia="es-MX"/>
              </w:rPr>
              <w:t>Resultados</w:t>
            </w:r>
            <w:bookmarkEnd w:id="2"/>
            <w:bookmarkEnd w:id="3"/>
          </w:p>
          <w:p w14:paraId="395BEB2C" w14:textId="77777777" w:rsidR="003E7653" w:rsidRPr="00D05B70" w:rsidRDefault="005C67E5" w:rsidP="00D05B70">
            <w:pPr>
              <w:spacing w:before="100" w:beforeAutospacing="1" w:after="100" w:afterAutospacing="1" w:line="360" w:lineRule="auto"/>
              <w:jc w:val="both"/>
              <w:rPr>
                <w:rFonts w:ascii="Arial" w:eastAsia="Times New Roman" w:hAnsi="Arial" w:cs="Arial"/>
                <w:sz w:val="24"/>
                <w:szCs w:val="24"/>
                <w:lang w:eastAsia="es-MX"/>
              </w:rPr>
            </w:pPr>
            <w:r w:rsidRPr="00D05B70">
              <w:rPr>
                <w:rFonts w:ascii="Arial" w:eastAsia="Times New Roman" w:hAnsi="Arial" w:cs="Arial"/>
                <w:sz w:val="24"/>
                <w:szCs w:val="24"/>
                <w:lang w:eastAsia="es-MX"/>
              </w:rPr>
              <w:lastRenderedPageBreak/>
              <w:t>El análisis del artículo destaca que la administración adecuada de las 7Ps permite diseñar experiencias más coherentes para el cliente. La evidencia muestra que las organizaciones que incorporan la dimensión humana, la estandarización de procesos y el manejo de la evidencia física obtienen mejores niveles de satisfacción y fidelización. También se concluye que las empresas deben adaptar su mezcla de marketing según el tipo de servicio y el perfil del cliente para mantener su competitividad</w:t>
            </w:r>
          </w:p>
          <w:p w14:paraId="296D627E" w14:textId="31984355" w:rsidR="005C67E5" w:rsidRPr="00D05B70" w:rsidRDefault="005C67E5" w:rsidP="00D05B70">
            <w:pPr>
              <w:spacing w:before="100" w:beforeAutospacing="1" w:after="100" w:afterAutospacing="1" w:line="360" w:lineRule="auto"/>
              <w:jc w:val="both"/>
              <w:rPr>
                <w:rFonts w:ascii="Arial" w:eastAsia="Times New Roman" w:hAnsi="Arial" w:cs="Arial"/>
                <w:sz w:val="24"/>
                <w:szCs w:val="24"/>
                <w:lang w:eastAsia="es-MX"/>
              </w:rPr>
            </w:pPr>
          </w:p>
        </w:tc>
      </w:tr>
      <w:tr w:rsidR="003E7653" w:rsidRPr="00D05B70" w14:paraId="561239E1" w14:textId="77777777" w:rsidTr="001B4699">
        <w:tc>
          <w:tcPr>
            <w:tcW w:w="9923" w:type="dxa"/>
          </w:tcPr>
          <w:p w14:paraId="0D2B6D71" w14:textId="77777777" w:rsidR="003E7653" w:rsidRPr="00D05B70" w:rsidRDefault="003E7653" w:rsidP="00D05B70">
            <w:pPr>
              <w:autoSpaceDE w:val="0"/>
              <w:autoSpaceDN w:val="0"/>
              <w:adjustRightInd w:val="0"/>
              <w:spacing w:line="360" w:lineRule="auto"/>
              <w:rPr>
                <w:rFonts w:ascii="Arial" w:hAnsi="Arial" w:cs="Arial"/>
                <w:noProof/>
                <w:sz w:val="24"/>
                <w:szCs w:val="24"/>
                <w:lang w:eastAsia="es-MX"/>
              </w:rPr>
            </w:pPr>
          </w:p>
        </w:tc>
      </w:tr>
      <w:tr w:rsidR="003E7653" w:rsidRPr="00D05B70" w14:paraId="72C3DB46" w14:textId="77777777" w:rsidTr="001B4699">
        <w:tc>
          <w:tcPr>
            <w:tcW w:w="9923" w:type="dxa"/>
            <w:shd w:val="clear" w:color="auto" w:fill="D9D9D9"/>
          </w:tcPr>
          <w:p w14:paraId="14433E90" w14:textId="77777777" w:rsidR="003E7653" w:rsidRPr="00D05B70" w:rsidRDefault="003E7653" w:rsidP="00D05B70">
            <w:pPr>
              <w:autoSpaceDE w:val="0"/>
              <w:autoSpaceDN w:val="0"/>
              <w:adjustRightInd w:val="0"/>
              <w:spacing w:line="360" w:lineRule="auto"/>
              <w:jc w:val="center"/>
              <w:rPr>
                <w:rFonts w:ascii="Arial" w:eastAsia="Calibri" w:hAnsi="Arial" w:cs="Arial"/>
                <w:b/>
                <w:color w:val="002060"/>
                <w:sz w:val="24"/>
                <w:szCs w:val="24"/>
                <w:lang w:val="es-ES"/>
              </w:rPr>
            </w:pPr>
            <w:r w:rsidRPr="00D05B70">
              <w:rPr>
                <w:rFonts w:ascii="Arial" w:eastAsia="Calibri" w:hAnsi="Arial" w:cs="Arial"/>
                <w:b/>
                <w:color w:val="002060"/>
                <w:sz w:val="24"/>
                <w:szCs w:val="24"/>
                <w:lang w:val="es-ES"/>
              </w:rPr>
              <w:t>Prontuario</w:t>
            </w:r>
          </w:p>
        </w:tc>
      </w:tr>
      <w:tr w:rsidR="003E7653" w:rsidRPr="00D05B70" w14:paraId="6C580F20" w14:textId="77777777" w:rsidTr="00D05B70">
        <w:trPr>
          <w:trHeight w:val="5255"/>
        </w:trPr>
        <w:tc>
          <w:tcPr>
            <w:tcW w:w="9923" w:type="dxa"/>
          </w:tcPr>
          <w:p w14:paraId="27854588" w14:textId="77777777" w:rsidR="005C67E5" w:rsidRPr="00D05B70" w:rsidRDefault="005C67E5" w:rsidP="00D05B70">
            <w:pPr>
              <w:autoSpaceDE w:val="0"/>
              <w:autoSpaceDN w:val="0"/>
              <w:adjustRightInd w:val="0"/>
              <w:spacing w:line="360" w:lineRule="auto"/>
              <w:rPr>
                <w:rFonts w:ascii="Arial" w:hAnsi="Arial" w:cs="Arial"/>
                <w:sz w:val="24"/>
                <w:szCs w:val="24"/>
              </w:rPr>
            </w:pPr>
          </w:p>
          <w:p w14:paraId="766696F7" w14:textId="64DA1E1C" w:rsidR="003E7653" w:rsidRPr="00D05B70" w:rsidRDefault="005C67E5" w:rsidP="00D05B70">
            <w:pPr>
              <w:autoSpaceDE w:val="0"/>
              <w:autoSpaceDN w:val="0"/>
              <w:adjustRightInd w:val="0"/>
              <w:spacing w:line="360" w:lineRule="auto"/>
              <w:rPr>
                <w:rFonts w:ascii="Arial" w:hAnsi="Arial" w:cs="Arial"/>
                <w:sz w:val="24"/>
                <w:szCs w:val="24"/>
              </w:rPr>
            </w:pPr>
            <w:r w:rsidRPr="00D05B70">
              <w:rPr>
                <w:rFonts w:ascii="Arial" w:hAnsi="Arial" w:cs="Arial"/>
                <w:sz w:val="24"/>
                <w:szCs w:val="24"/>
              </w:rPr>
              <w:t>El artículo señala que las 7Ps amplían la visión del marketing al incluir elementos clave en la prestación de servicios, como las personas, los procesos y el entorno físico. Explica que estos factores influyen directamente en la forma en que el cliente evalúa la calidad del servicio. También resalta que la correcta gestión de estas siete variables contribuye a estandarizar la experiencia, reducir errores y construir relacione</w:t>
            </w:r>
            <w:r w:rsidR="00D05B70">
              <w:rPr>
                <w:rFonts w:ascii="Arial" w:hAnsi="Arial" w:cs="Arial"/>
                <w:sz w:val="24"/>
                <w:szCs w:val="24"/>
              </w:rPr>
              <w:t>s de confianza con los usuarios.</w:t>
            </w:r>
          </w:p>
          <w:p w14:paraId="58BA7E56" w14:textId="77777777" w:rsidR="003E7653" w:rsidRPr="00D05B70" w:rsidRDefault="003E7653" w:rsidP="00D05B70">
            <w:pPr>
              <w:autoSpaceDE w:val="0"/>
              <w:autoSpaceDN w:val="0"/>
              <w:adjustRightInd w:val="0"/>
              <w:spacing w:line="360" w:lineRule="auto"/>
              <w:rPr>
                <w:rFonts w:ascii="Arial" w:eastAsia="Calibri" w:hAnsi="Arial" w:cs="Arial"/>
                <w:sz w:val="24"/>
                <w:szCs w:val="24"/>
                <w:lang w:val="es-ES"/>
              </w:rPr>
            </w:pPr>
          </w:p>
          <w:p w14:paraId="7D637A4E" w14:textId="77777777" w:rsidR="003E7653" w:rsidRPr="00D05B70" w:rsidRDefault="003E7653" w:rsidP="00D05B70">
            <w:pPr>
              <w:autoSpaceDE w:val="0"/>
              <w:autoSpaceDN w:val="0"/>
              <w:adjustRightInd w:val="0"/>
              <w:spacing w:line="360" w:lineRule="auto"/>
              <w:rPr>
                <w:rFonts w:ascii="Arial" w:eastAsia="Calibri" w:hAnsi="Arial" w:cs="Arial"/>
                <w:color w:val="002060"/>
                <w:sz w:val="24"/>
                <w:szCs w:val="24"/>
                <w:lang w:val="es-ES"/>
              </w:rPr>
            </w:pPr>
          </w:p>
        </w:tc>
      </w:tr>
    </w:tbl>
    <w:p w14:paraId="143075B8" w14:textId="77777777" w:rsidR="003E7653" w:rsidRPr="00D05B70" w:rsidRDefault="003E7653" w:rsidP="00D05B70">
      <w:pPr>
        <w:spacing w:line="360" w:lineRule="auto"/>
        <w:jc w:val="both"/>
        <w:rPr>
          <w:rFonts w:ascii="Arial" w:hAnsi="Arial" w:cs="Arial"/>
          <w:b/>
          <w:bCs/>
          <w:sz w:val="24"/>
          <w:szCs w:val="24"/>
        </w:rPr>
      </w:pPr>
    </w:p>
    <w:p w14:paraId="097B9AE4" w14:textId="1EC20BDD" w:rsidR="005C67E5" w:rsidRPr="00D05B70" w:rsidRDefault="005C67E5" w:rsidP="00D05B70">
      <w:pPr>
        <w:pStyle w:val="Encabezado"/>
        <w:tabs>
          <w:tab w:val="right" w:pos="8080"/>
          <w:tab w:val="left" w:pos="8222"/>
        </w:tabs>
        <w:spacing w:line="360" w:lineRule="auto"/>
        <w:ind w:right="855"/>
        <w:rPr>
          <w:rFonts w:ascii="Arial" w:hAnsi="Arial" w:cs="Arial"/>
          <w:i/>
          <w:sz w:val="24"/>
          <w:szCs w:val="24"/>
        </w:rPr>
      </w:pPr>
      <w:r w:rsidRPr="00D05B70">
        <w:rPr>
          <w:rFonts w:ascii="Arial" w:hAnsi="Arial" w:cs="Arial"/>
          <w:i/>
          <w:sz w:val="24"/>
          <w:szCs w:val="24"/>
        </w:rPr>
        <w:t>Formato elaborado por el Dr. Agustín Manig Valenzuela y utilizado sólo para fines académicos.</w:t>
      </w:r>
    </w:p>
    <w:p w14:paraId="0932D91E" w14:textId="77777777" w:rsidR="005C67E5" w:rsidRPr="00D05B70" w:rsidRDefault="005C67E5" w:rsidP="00D05B70">
      <w:pPr>
        <w:spacing w:line="360" w:lineRule="auto"/>
        <w:jc w:val="both"/>
        <w:rPr>
          <w:rFonts w:ascii="Arial" w:hAnsi="Arial" w:cs="Arial"/>
          <w:sz w:val="24"/>
          <w:szCs w:val="24"/>
        </w:rPr>
      </w:pPr>
    </w:p>
    <w:p w14:paraId="69E063F7" w14:textId="67FB9FB6" w:rsidR="008E7BFD" w:rsidRPr="00D05B70" w:rsidRDefault="00697810" w:rsidP="00D05B70">
      <w:pPr>
        <w:pStyle w:val="Ttulo1"/>
        <w:spacing w:line="360" w:lineRule="auto"/>
        <w:jc w:val="center"/>
        <w:rPr>
          <w:rFonts w:ascii="Arial" w:hAnsi="Arial" w:cs="Arial"/>
          <w:sz w:val="24"/>
          <w:szCs w:val="24"/>
        </w:rPr>
      </w:pPr>
      <w:bookmarkStart w:id="4" w:name="_Toc214138123"/>
      <w:r w:rsidRPr="00D05B70">
        <w:rPr>
          <w:rFonts w:ascii="Arial" w:hAnsi="Arial" w:cs="Arial"/>
          <w:sz w:val="24"/>
          <w:szCs w:val="24"/>
        </w:rPr>
        <w:lastRenderedPageBreak/>
        <w:t>Unidad 2</w:t>
      </w:r>
      <w:r w:rsidR="008E7BFD" w:rsidRPr="00D05B70">
        <w:rPr>
          <w:rFonts w:ascii="Arial" w:hAnsi="Arial" w:cs="Arial"/>
          <w:sz w:val="24"/>
          <w:szCs w:val="24"/>
        </w:rPr>
        <w:t>: Mercadotecnia aplicada a los servicios</w:t>
      </w:r>
      <w:bookmarkEnd w:id="4"/>
    </w:p>
    <w:p w14:paraId="2D443E92" w14:textId="77777777" w:rsidR="008E7BFD" w:rsidRPr="00D05B70" w:rsidRDefault="008E7BFD" w:rsidP="00D05B70">
      <w:pPr>
        <w:spacing w:line="360" w:lineRule="auto"/>
        <w:jc w:val="both"/>
        <w:rPr>
          <w:rFonts w:ascii="Arial" w:hAnsi="Arial" w:cs="Arial"/>
          <w:sz w:val="24"/>
          <w:szCs w:val="24"/>
        </w:rPr>
      </w:pPr>
      <w:r w:rsidRPr="00D05B70">
        <w:rPr>
          <w:rFonts w:ascii="Arial" w:hAnsi="Arial" w:cs="Arial"/>
          <w:sz w:val="24"/>
          <w:szCs w:val="24"/>
        </w:rPr>
        <w:t xml:space="preserve">2.1 Segmentación objetivo y posicionamiento. </w:t>
      </w:r>
    </w:p>
    <w:p w14:paraId="4B195C8D" w14:textId="77777777" w:rsidR="008E7BFD" w:rsidRPr="00D05B70" w:rsidRDefault="008E7BFD" w:rsidP="00D05B70">
      <w:pPr>
        <w:spacing w:line="360" w:lineRule="auto"/>
        <w:jc w:val="both"/>
        <w:rPr>
          <w:rFonts w:ascii="Arial" w:hAnsi="Arial" w:cs="Arial"/>
          <w:sz w:val="24"/>
          <w:szCs w:val="24"/>
        </w:rPr>
      </w:pPr>
      <w:r w:rsidRPr="00D05B70">
        <w:rPr>
          <w:rFonts w:ascii="Arial" w:hAnsi="Arial" w:cs="Arial"/>
          <w:sz w:val="24"/>
          <w:szCs w:val="24"/>
        </w:rPr>
        <w:t xml:space="preserve">2.2 7Ps en servicios (personas, procesos, evidencia física). </w:t>
      </w:r>
    </w:p>
    <w:p w14:paraId="54D7E9FC" w14:textId="77777777" w:rsidR="008E7BFD" w:rsidRPr="00D05B70" w:rsidRDefault="008E7BFD" w:rsidP="00D05B70">
      <w:pPr>
        <w:spacing w:line="360" w:lineRule="auto"/>
        <w:jc w:val="both"/>
        <w:rPr>
          <w:rFonts w:ascii="Arial" w:hAnsi="Arial" w:cs="Arial"/>
          <w:sz w:val="24"/>
          <w:szCs w:val="24"/>
        </w:rPr>
      </w:pPr>
      <w:r w:rsidRPr="00D05B70">
        <w:rPr>
          <w:rFonts w:ascii="Arial" w:hAnsi="Arial" w:cs="Arial"/>
          <w:sz w:val="24"/>
          <w:szCs w:val="24"/>
        </w:rPr>
        <w:t xml:space="preserve">2.3 Distribución de servicios. 2.4 Pricing y gestión de la demanda. </w:t>
      </w:r>
    </w:p>
    <w:p w14:paraId="7D6DAEFE" w14:textId="28230879" w:rsidR="00697810" w:rsidRPr="00D05B70" w:rsidRDefault="008E7BFD" w:rsidP="00D05B70">
      <w:pPr>
        <w:spacing w:line="360" w:lineRule="auto"/>
        <w:jc w:val="both"/>
        <w:rPr>
          <w:rFonts w:ascii="Arial" w:hAnsi="Arial" w:cs="Arial"/>
          <w:sz w:val="24"/>
          <w:szCs w:val="24"/>
        </w:rPr>
      </w:pPr>
      <w:r w:rsidRPr="00D05B70">
        <w:rPr>
          <w:rFonts w:ascii="Arial" w:hAnsi="Arial" w:cs="Arial"/>
          <w:sz w:val="24"/>
          <w:szCs w:val="24"/>
        </w:rPr>
        <w:t>2.5 Service Blueprinting</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5C67E5" w:rsidRPr="00D05B70" w14:paraId="0ACA3D2E" w14:textId="77777777" w:rsidTr="001B4699">
        <w:tc>
          <w:tcPr>
            <w:tcW w:w="2836" w:type="dxa"/>
            <w:shd w:val="clear" w:color="auto" w:fill="F2F2F2"/>
          </w:tcPr>
          <w:p w14:paraId="7EBFFC82" w14:textId="77777777" w:rsidR="005C67E5" w:rsidRPr="00D05B70" w:rsidRDefault="005C67E5" w:rsidP="00D05B70">
            <w:pPr>
              <w:autoSpaceDE w:val="0"/>
              <w:autoSpaceDN w:val="0"/>
              <w:adjustRightInd w:val="0"/>
              <w:spacing w:line="360" w:lineRule="auto"/>
              <w:rPr>
                <w:rFonts w:ascii="Arial" w:eastAsia="Calibri" w:hAnsi="Arial" w:cs="Arial"/>
                <w:color w:val="002060"/>
                <w:sz w:val="24"/>
                <w:szCs w:val="24"/>
                <w:lang w:val="es-ES"/>
              </w:rPr>
            </w:pPr>
            <w:r w:rsidRPr="00D05B70">
              <w:rPr>
                <w:rFonts w:ascii="Arial" w:eastAsia="Calibri" w:hAnsi="Arial" w:cs="Arial"/>
                <w:color w:val="002060"/>
                <w:sz w:val="24"/>
                <w:szCs w:val="24"/>
                <w:lang w:val="es-ES"/>
              </w:rPr>
              <w:t>Tema:</w:t>
            </w:r>
          </w:p>
        </w:tc>
        <w:tc>
          <w:tcPr>
            <w:tcW w:w="7229" w:type="dxa"/>
          </w:tcPr>
          <w:p w14:paraId="2646F24D" w14:textId="6BED4CE5" w:rsidR="005C67E5" w:rsidRPr="00D05B70" w:rsidRDefault="005C67E5" w:rsidP="00D05B70">
            <w:pPr>
              <w:autoSpaceDE w:val="0"/>
              <w:autoSpaceDN w:val="0"/>
              <w:adjustRightInd w:val="0"/>
              <w:spacing w:line="360" w:lineRule="auto"/>
              <w:jc w:val="center"/>
              <w:rPr>
                <w:rFonts w:ascii="Arial" w:eastAsia="Calibri" w:hAnsi="Arial" w:cs="Arial"/>
                <w:b/>
                <w:sz w:val="24"/>
                <w:szCs w:val="24"/>
                <w:lang w:val="es-ES"/>
              </w:rPr>
            </w:pPr>
            <w:r w:rsidRPr="00D05B70">
              <w:rPr>
                <w:rFonts w:ascii="Arial" w:hAnsi="Arial" w:cs="Arial"/>
                <w:b/>
                <w:sz w:val="24"/>
                <w:szCs w:val="24"/>
              </w:rPr>
              <w:t>Pricing y gestión de la demanda en servicios</w:t>
            </w:r>
          </w:p>
        </w:tc>
      </w:tr>
    </w:tbl>
    <w:p w14:paraId="0B99D2F3" w14:textId="77777777" w:rsidR="005C67E5" w:rsidRPr="00D05B70" w:rsidRDefault="005C67E5" w:rsidP="00D05B70">
      <w:pPr>
        <w:autoSpaceDE w:val="0"/>
        <w:autoSpaceDN w:val="0"/>
        <w:adjustRightInd w:val="0"/>
        <w:spacing w:line="360" w:lineRule="auto"/>
        <w:ind w:left="1080"/>
        <w:rPr>
          <w:rFonts w:ascii="Arial" w:eastAsia="Calibri" w:hAnsi="Arial" w:cs="Arial"/>
          <w:color w:val="002060"/>
          <w:sz w:val="24"/>
          <w:szCs w:val="24"/>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3"/>
        <w:gridCol w:w="9072"/>
      </w:tblGrid>
      <w:tr w:rsidR="005C67E5" w:rsidRPr="00D05B70" w14:paraId="1F2DB3A7" w14:textId="77777777" w:rsidTr="001B4699">
        <w:tc>
          <w:tcPr>
            <w:tcW w:w="10065" w:type="dxa"/>
            <w:gridSpan w:val="2"/>
            <w:shd w:val="clear" w:color="auto" w:fill="F2F2F2"/>
          </w:tcPr>
          <w:p w14:paraId="273E6176" w14:textId="77777777" w:rsidR="005C67E5" w:rsidRPr="00D05B70" w:rsidRDefault="005C67E5" w:rsidP="00D05B70">
            <w:pPr>
              <w:autoSpaceDE w:val="0"/>
              <w:autoSpaceDN w:val="0"/>
              <w:adjustRightInd w:val="0"/>
              <w:spacing w:line="360" w:lineRule="auto"/>
              <w:rPr>
                <w:rFonts w:ascii="Arial" w:eastAsia="Calibri" w:hAnsi="Arial" w:cs="Arial"/>
                <w:b/>
                <w:color w:val="002060"/>
                <w:sz w:val="24"/>
                <w:szCs w:val="24"/>
                <w:lang w:val="es-ES"/>
              </w:rPr>
            </w:pPr>
            <w:r w:rsidRPr="00D05B70">
              <w:rPr>
                <w:rFonts w:ascii="Arial" w:eastAsia="Calibri" w:hAnsi="Arial" w:cs="Arial"/>
                <w:b/>
                <w:color w:val="002060"/>
                <w:sz w:val="24"/>
                <w:szCs w:val="24"/>
                <w:lang w:val="es-ES"/>
              </w:rPr>
              <w:t>Ficha de la fuente de información.</w:t>
            </w:r>
          </w:p>
        </w:tc>
      </w:tr>
      <w:tr w:rsidR="005C67E5" w:rsidRPr="00D05B70" w14:paraId="4AF3CA8A" w14:textId="77777777" w:rsidTr="005C67E5">
        <w:trPr>
          <w:trHeight w:val="629"/>
        </w:trPr>
        <w:tc>
          <w:tcPr>
            <w:tcW w:w="993" w:type="dxa"/>
          </w:tcPr>
          <w:p w14:paraId="3751C198" w14:textId="5951949D" w:rsidR="005C67E5" w:rsidRPr="00D05B70" w:rsidRDefault="005C67E5" w:rsidP="00D05B70">
            <w:pPr>
              <w:autoSpaceDE w:val="0"/>
              <w:autoSpaceDN w:val="0"/>
              <w:adjustRightInd w:val="0"/>
              <w:spacing w:line="360" w:lineRule="auto"/>
              <w:rPr>
                <w:rFonts w:ascii="Arial" w:eastAsia="Calibri" w:hAnsi="Arial" w:cs="Arial"/>
                <w:color w:val="002060"/>
                <w:sz w:val="24"/>
                <w:szCs w:val="24"/>
                <w:lang w:val="es-ES"/>
              </w:rPr>
            </w:pPr>
            <w:r w:rsidRPr="00D05B70">
              <w:rPr>
                <w:rFonts w:ascii="Arial" w:eastAsia="Calibri" w:hAnsi="Arial" w:cs="Arial"/>
                <w:color w:val="002060"/>
                <w:sz w:val="24"/>
                <w:szCs w:val="24"/>
                <w:lang w:val="es-ES"/>
              </w:rPr>
              <w:t xml:space="preserve">No. </w:t>
            </w:r>
            <w:r w:rsidR="00697810" w:rsidRPr="00D05B70">
              <w:rPr>
                <w:rFonts w:ascii="Arial" w:eastAsia="Calibri" w:hAnsi="Arial" w:cs="Arial"/>
                <w:color w:val="002060"/>
                <w:sz w:val="24"/>
                <w:szCs w:val="24"/>
                <w:lang w:val="es-ES"/>
              </w:rPr>
              <w:t>2</w:t>
            </w:r>
          </w:p>
        </w:tc>
        <w:tc>
          <w:tcPr>
            <w:tcW w:w="9072" w:type="dxa"/>
          </w:tcPr>
          <w:p w14:paraId="567CB956" w14:textId="77777777" w:rsidR="005C67E5" w:rsidRPr="00D05B70" w:rsidRDefault="005C67E5" w:rsidP="00D05B70">
            <w:pPr>
              <w:autoSpaceDE w:val="0"/>
              <w:autoSpaceDN w:val="0"/>
              <w:adjustRightInd w:val="0"/>
              <w:spacing w:line="360" w:lineRule="auto"/>
              <w:rPr>
                <w:rFonts w:ascii="Arial" w:eastAsia="Calibri" w:hAnsi="Arial" w:cs="Arial"/>
                <w:i/>
                <w:color w:val="002060"/>
                <w:sz w:val="24"/>
                <w:szCs w:val="24"/>
                <w:lang w:val="es-ES"/>
              </w:rPr>
            </w:pPr>
            <w:r w:rsidRPr="00D05B70">
              <w:rPr>
                <w:rFonts w:ascii="Arial" w:eastAsia="Calibri" w:hAnsi="Arial" w:cs="Arial"/>
                <w:i/>
                <w:sz w:val="24"/>
                <w:szCs w:val="24"/>
                <w:lang w:val="es-ES"/>
              </w:rPr>
              <w:t>Google académico</w:t>
            </w:r>
          </w:p>
          <w:p w14:paraId="09DEFF46" w14:textId="77777777" w:rsidR="005C67E5" w:rsidRPr="00D05B70" w:rsidRDefault="005C67E5" w:rsidP="00D05B70">
            <w:pPr>
              <w:spacing w:line="360" w:lineRule="auto"/>
              <w:rPr>
                <w:rFonts w:ascii="Arial" w:eastAsia="Calibri" w:hAnsi="Arial" w:cs="Arial"/>
                <w:sz w:val="24"/>
                <w:szCs w:val="24"/>
                <w:lang w:val="es-ES"/>
              </w:rPr>
            </w:pPr>
            <w:r w:rsidRPr="00D05B70">
              <w:rPr>
                <w:rFonts w:ascii="Arial" w:eastAsia="Calibri" w:hAnsi="Arial" w:cs="Arial"/>
                <w:color w:val="002060"/>
                <w:sz w:val="24"/>
                <w:szCs w:val="24"/>
                <w:lang w:val="es-ES"/>
              </w:rPr>
              <w:t xml:space="preserve"> </w:t>
            </w:r>
          </w:p>
        </w:tc>
      </w:tr>
      <w:tr w:rsidR="005C67E5" w:rsidRPr="00D05B70" w14:paraId="367275C9" w14:textId="77777777" w:rsidTr="001B4699">
        <w:tc>
          <w:tcPr>
            <w:tcW w:w="10065" w:type="dxa"/>
            <w:gridSpan w:val="2"/>
          </w:tcPr>
          <w:p w14:paraId="7C6E81B2" w14:textId="38AC5BED" w:rsidR="005C67E5" w:rsidRPr="00D05B70" w:rsidRDefault="005C67E5" w:rsidP="00D05B70">
            <w:pPr>
              <w:autoSpaceDE w:val="0"/>
              <w:autoSpaceDN w:val="0"/>
              <w:adjustRightInd w:val="0"/>
              <w:spacing w:line="360" w:lineRule="auto"/>
              <w:rPr>
                <w:rFonts w:ascii="Arial" w:hAnsi="Arial" w:cs="Arial"/>
                <w:noProof/>
                <w:sz w:val="24"/>
                <w:szCs w:val="24"/>
                <w:lang w:eastAsia="es-MX"/>
              </w:rPr>
            </w:pPr>
            <w:r w:rsidRPr="00D05B70">
              <w:rPr>
                <w:rFonts w:ascii="Arial" w:eastAsia="Calibri" w:hAnsi="Arial" w:cs="Arial"/>
                <w:color w:val="002060"/>
                <w:sz w:val="24"/>
                <w:szCs w:val="24"/>
                <w:lang w:val="es-ES"/>
              </w:rPr>
              <w:t xml:space="preserve">Palabras claves. </w:t>
            </w:r>
            <w:r w:rsidRPr="00D05B70">
              <w:rPr>
                <w:rFonts w:ascii="Arial" w:hAnsi="Arial" w:cs="Arial"/>
                <w:sz w:val="24"/>
                <w:szCs w:val="24"/>
                <w:lang w:val="es-ES"/>
              </w:rPr>
              <w:t>P</w:t>
            </w:r>
            <w:r w:rsidRPr="00D05B70">
              <w:rPr>
                <w:rFonts w:ascii="Arial" w:hAnsi="Arial" w:cs="Arial"/>
                <w:sz w:val="24"/>
                <w:szCs w:val="24"/>
              </w:rPr>
              <w:t>ricing en servicios, gestión de la demanda, estrategias de precios, capacidad, variabilidad del servicio.</w:t>
            </w:r>
          </w:p>
        </w:tc>
      </w:tr>
      <w:tr w:rsidR="005C67E5" w:rsidRPr="00D05B70" w14:paraId="667BD07C" w14:textId="77777777" w:rsidTr="001B4699">
        <w:tc>
          <w:tcPr>
            <w:tcW w:w="10065" w:type="dxa"/>
            <w:gridSpan w:val="2"/>
          </w:tcPr>
          <w:p w14:paraId="601D7E0E" w14:textId="77777777" w:rsidR="005C67E5" w:rsidRPr="00D05B70" w:rsidRDefault="005C67E5" w:rsidP="00D05B70">
            <w:pPr>
              <w:autoSpaceDE w:val="0"/>
              <w:autoSpaceDN w:val="0"/>
              <w:adjustRightInd w:val="0"/>
              <w:spacing w:line="360" w:lineRule="auto"/>
              <w:rPr>
                <w:rFonts w:ascii="Arial" w:eastAsia="Calibri" w:hAnsi="Arial" w:cs="Arial"/>
                <w:color w:val="002060"/>
                <w:sz w:val="24"/>
                <w:szCs w:val="24"/>
                <w:lang w:val="en-US"/>
              </w:rPr>
            </w:pPr>
            <w:r w:rsidRPr="00D05B70">
              <w:rPr>
                <w:rFonts w:ascii="Arial" w:eastAsia="Calibri" w:hAnsi="Arial" w:cs="Arial"/>
                <w:color w:val="002060"/>
                <w:sz w:val="24"/>
                <w:szCs w:val="24"/>
                <w:lang w:val="en-US"/>
              </w:rPr>
              <w:t>Referencia APA.</w:t>
            </w:r>
          </w:p>
          <w:p w14:paraId="6679B759" w14:textId="547BD7E5" w:rsidR="005C67E5" w:rsidRPr="00D05B70" w:rsidRDefault="005C67E5" w:rsidP="00D05B70">
            <w:pPr>
              <w:autoSpaceDE w:val="0"/>
              <w:autoSpaceDN w:val="0"/>
              <w:adjustRightInd w:val="0"/>
              <w:spacing w:line="360" w:lineRule="auto"/>
              <w:ind w:left="720" w:hanging="720"/>
              <w:rPr>
                <w:rFonts w:ascii="Arial" w:eastAsia="Calibri" w:hAnsi="Arial" w:cs="Arial"/>
                <w:sz w:val="24"/>
                <w:szCs w:val="24"/>
                <w:lang w:val="es-ES"/>
              </w:rPr>
            </w:pPr>
            <w:r w:rsidRPr="00D05B70">
              <w:rPr>
                <w:rFonts w:ascii="Arial" w:hAnsi="Arial" w:cs="Arial"/>
                <w:sz w:val="24"/>
                <w:szCs w:val="24"/>
                <w:lang w:val="en-US"/>
              </w:rPr>
              <w:t xml:space="preserve">Zeithaml, V. A., Bitner, M. J., &amp; Gremler, D. D. (2018). </w:t>
            </w:r>
            <w:r w:rsidRPr="00D05B70">
              <w:rPr>
                <w:rStyle w:val="nfasis"/>
                <w:rFonts w:ascii="Arial" w:hAnsi="Arial" w:cs="Arial"/>
                <w:sz w:val="24"/>
                <w:szCs w:val="24"/>
                <w:lang w:val="en-US"/>
              </w:rPr>
              <w:t>Services Marketing: Integrating Customer Focus Across the Firm</w:t>
            </w:r>
            <w:r w:rsidRPr="00D05B70">
              <w:rPr>
                <w:rFonts w:ascii="Arial" w:hAnsi="Arial" w:cs="Arial"/>
                <w:sz w:val="24"/>
                <w:szCs w:val="24"/>
                <w:lang w:val="en-US"/>
              </w:rPr>
              <w:t xml:space="preserve">. </w:t>
            </w:r>
            <w:r w:rsidRPr="00D05B70">
              <w:rPr>
                <w:rFonts w:ascii="Arial" w:hAnsi="Arial" w:cs="Arial"/>
                <w:sz w:val="24"/>
                <w:szCs w:val="24"/>
              </w:rPr>
              <w:t>McGraw-Hill Education.</w:t>
            </w:r>
          </w:p>
        </w:tc>
      </w:tr>
      <w:tr w:rsidR="005C67E5" w:rsidRPr="00D05B70" w14:paraId="311B6BF9" w14:textId="77777777" w:rsidTr="001B4699">
        <w:tc>
          <w:tcPr>
            <w:tcW w:w="10065" w:type="dxa"/>
            <w:gridSpan w:val="2"/>
          </w:tcPr>
          <w:p w14:paraId="36FA0841" w14:textId="48F88795" w:rsidR="005C67E5" w:rsidRPr="00D05B70" w:rsidRDefault="005C67E5" w:rsidP="00D05B70">
            <w:pPr>
              <w:autoSpaceDE w:val="0"/>
              <w:autoSpaceDN w:val="0"/>
              <w:adjustRightInd w:val="0"/>
              <w:spacing w:line="360" w:lineRule="auto"/>
              <w:jc w:val="center"/>
              <w:rPr>
                <w:rFonts w:ascii="Arial" w:eastAsia="Calibri" w:hAnsi="Arial" w:cs="Arial"/>
                <w:color w:val="002060"/>
                <w:sz w:val="24"/>
                <w:szCs w:val="24"/>
                <w:lang w:val="es-ES"/>
              </w:rPr>
            </w:pPr>
            <w:r w:rsidRPr="00D05B70">
              <w:rPr>
                <w:rFonts w:ascii="Arial" w:eastAsia="Calibri" w:hAnsi="Arial" w:cs="Arial"/>
                <w:color w:val="002060"/>
                <w:sz w:val="24"/>
                <w:szCs w:val="24"/>
                <w:lang w:val="es-ES"/>
              </w:rPr>
              <w:t xml:space="preserve">RESUMEN </w:t>
            </w:r>
          </w:p>
        </w:tc>
      </w:tr>
      <w:tr w:rsidR="005C67E5" w:rsidRPr="00D05B70" w14:paraId="15344C77" w14:textId="77777777" w:rsidTr="001B4699">
        <w:tc>
          <w:tcPr>
            <w:tcW w:w="10065" w:type="dxa"/>
            <w:gridSpan w:val="2"/>
          </w:tcPr>
          <w:p w14:paraId="6A63E425" w14:textId="5C94867E" w:rsidR="005C67E5" w:rsidRPr="00D05B70" w:rsidRDefault="005C67E5" w:rsidP="00D05B70">
            <w:pPr>
              <w:autoSpaceDE w:val="0"/>
              <w:autoSpaceDN w:val="0"/>
              <w:adjustRightInd w:val="0"/>
              <w:spacing w:line="360" w:lineRule="auto"/>
              <w:jc w:val="both"/>
              <w:rPr>
                <w:rFonts w:ascii="Arial" w:eastAsia="Calibri" w:hAnsi="Arial" w:cs="Arial"/>
                <w:color w:val="002060"/>
                <w:sz w:val="24"/>
                <w:szCs w:val="24"/>
                <w:lang w:val="es-ES"/>
              </w:rPr>
            </w:pPr>
            <w:r w:rsidRPr="00D05B70">
              <w:rPr>
                <w:rFonts w:ascii="Arial" w:hAnsi="Arial" w:cs="Arial"/>
                <w:sz w:val="24"/>
                <w:szCs w:val="24"/>
              </w:rPr>
              <w:t xml:space="preserve">El texto explica que la fijación de precios en los servicios depende de factores distintos a los de los bienes tangibles debido a su intangibilidad, variabilidad y carácter perecedero. Los autores señalan que el pricing debe considerar la percepción del cliente, los costos del servicio, la competencia y la capacidad disponible. Además, se analiza la gestión de la demanda como un proceso para equilibrar la oferta del servicio con los periodos de alta y baja </w:t>
            </w:r>
            <w:r w:rsidRPr="00D05B70">
              <w:rPr>
                <w:rFonts w:ascii="Arial" w:hAnsi="Arial" w:cs="Arial"/>
                <w:sz w:val="24"/>
                <w:szCs w:val="24"/>
              </w:rPr>
              <w:lastRenderedPageBreak/>
              <w:t>afluencia, mediante técnicas como precios dinámicos, segmentación de tarifas y promociones estratégicas. El objetivo central es maximizar el uso de la capacidad sin comprometer la calidad del servicio.</w:t>
            </w:r>
          </w:p>
        </w:tc>
      </w:tr>
    </w:tbl>
    <w:p w14:paraId="12662FB9" w14:textId="77777777" w:rsidR="005C67E5" w:rsidRPr="00D05B70" w:rsidRDefault="005C67E5" w:rsidP="00D05B70">
      <w:pPr>
        <w:autoSpaceDE w:val="0"/>
        <w:autoSpaceDN w:val="0"/>
        <w:adjustRightInd w:val="0"/>
        <w:spacing w:line="360" w:lineRule="auto"/>
        <w:rPr>
          <w:rFonts w:ascii="Arial" w:eastAsia="Calibri" w:hAnsi="Arial" w:cs="Arial"/>
          <w:color w:val="002060"/>
          <w:sz w:val="24"/>
          <w:szCs w:val="24"/>
          <w:lang w:val="es-ES"/>
        </w:rPr>
      </w:pPr>
    </w:p>
    <w:tbl>
      <w:tblPr>
        <w:tblW w:w="9923"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5C67E5" w:rsidRPr="00D05B70" w14:paraId="20DA68F2" w14:textId="77777777" w:rsidTr="001B4699">
        <w:tc>
          <w:tcPr>
            <w:tcW w:w="9923" w:type="dxa"/>
            <w:shd w:val="clear" w:color="auto" w:fill="D9D9D9"/>
          </w:tcPr>
          <w:p w14:paraId="6F9ACDE9" w14:textId="017649FB" w:rsidR="005C67E5" w:rsidRPr="00D05B70" w:rsidRDefault="005C67E5" w:rsidP="00D05B70">
            <w:pPr>
              <w:autoSpaceDE w:val="0"/>
              <w:autoSpaceDN w:val="0"/>
              <w:adjustRightInd w:val="0"/>
              <w:spacing w:line="360" w:lineRule="auto"/>
              <w:jc w:val="center"/>
              <w:rPr>
                <w:rFonts w:ascii="Arial" w:eastAsia="Calibri" w:hAnsi="Arial" w:cs="Arial"/>
                <w:b/>
                <w:color w:val="002060"/>
                <w:sz w:val="24"/>
                <w:szCs w:val="24"/>
                <w:lang w:val="es-ES"/>
              </w:rPr>
            </w:pPr>
            <w:r w:rsidRPr="00D05B70">
              <w:rPr>
                <w:rFonts w:ascii="Arial" w:eastAsia="Calibri" w:hAnsi="Arial" w:cs="Arial"/>
                <w:color w:val="002060"/>
                <w:sz w:val="24"/>
                <w:szCs w:val="24"/>
                <w:lang w:val="es-ES"/>
              </w:rPr>
              <w:t xml:space="preserve">Texto </w:t>
            </w:r>
          </w:p>
        </w:tc>
      </w:tr>
      <w:tr w:rsidR="005C67E5" w:rsidRPr="00D05B70" w14:paraId="1E860641" w14:textId="77777777" w:rsidTr="00D05B70">
        <w:trPr>
          <w:trHeight w:val="4201"/>
        </w:trPr>
        <w:tc>
          <w:tcPr>
            <w:tcW w:w="9923" w:type="dxa"/>
          </w:tcPr>
          <w:p w14:paraId="385E0F00" w14:textId="21F3EDE6" w:rsidR="005C67E5" w:rsidRPr="00D05B70" w:rsidRDefault="005C67E5" w:rsidP="00D05B70">
            <w:pPr>
              <w:pStyle w:val="NormalWeb"/>
              <w:spacing w:line="360" w:lineRule="auto"/>
              <w:jc w:val="both"/>
              <w:rPr>
                <w:rFonts w:ascii="Arial" w:hAnsi="Arial" w:cs="Arial"/>
              </w:rPr>
            </w:pPr>
            <w:r w:rsidRPr="00D05B70">
              <w:rPr>
                <w:rFonts w:ascii="Arial" w:hAnsi="Arial" w:cs="Arial"/>
              </w:rPr>
              <w:t xml:space="preserve"> “El precio en los servicios debe reflejar no solo los costos operativos, sino también la percepción de valor que tiene el cliente sobre la experiencia ofrecida” (Zeithaml et al., 2018, p. 215).</w:t>
            </w:r>
          </w:p>
          <w:p w14:paraId="0B724C8B" w14:textId="60B0FD53" w:rsidR="005C67E5" w:rsidRPr="00D05B70" w:rsidRDefault="005C67E5" w:rsidP="00D05B70">
            <w:pPr>
              <w:pStyle w:val="NormalWeb"/>
              <w:spacing w:line="360" w:lineRule="auto"/>
              <w:jc w:val="both"/>
              <w:rPr>
                <w:rFonts w:ascii="Arial" w:hAnsi="Arial" w:cs="Arial"/>
              </w:rPr>
            </w:pPr>
            <w:r w:rsidRPr="00D05B70">
              <w:rPr>
                <w:rFonts w:ascii="Arial" w:hAnsi="Arial" w:cs="Arial"/>
              </w:rPr>
              <w:t>“Debido a que los servicios no pueden almacenarse, la gestión de la demanda se convierte en una herramienta esencial para equilibrar periodos de alta y baja afluencia” (p. 228).</w:t>
            </w:r>
          </w:p>
          <w:p w14:paraId="3DB331B0" w14:textId="5F96D669" w:rsidR="005C67E5" w:rsidRPr="00D05B70" w:rsidRDefault="005C67E5" w:rsidP="00D05B70">
            <w:pPr>
              <w:pStyle w:val="NormalWeb"/>
              <w:spacing w:line="360" w:lineRule="auto"/>
              <w:jc w:val="both"/>
              <w:rPr>
                <w:rFonts w:ascii="Arial" w:hAnsi="Arial" w:cs="Arial"/>
              </w:rPr>
            </w:pPr>
            <w:r w:rsidRPr="00D05B70">
              <w:rPr>
                <w:rFonts w:ascii="Arial" w:hAnsi="Arial" w:cs="Arial"/>
              </w:rPr>
              <w:t xml:space="preserve"> “Las estrategias de precios diferenciales permiten a las empresas optimizar la capacidad, incentivar el uso en horas valle y maximizar los ingresos en momentos de mayor demanda” (p. 233).</w:t>
            </w:r>
          </w:p>
        </w:tc>
      </w:tr>
      <w:tr w:rsidR="005C67E5" w:rsidRPr="00D05B70" w14:paraId="2E740495" w14:textId="77777777" w:rsidTr="001B4699">
        <w:tc>
          <w:tcPr>
            <w:tcW w:w="9923" w:type="dxa"/>
            <w:shd w:val="clear" w:color="auto" w:fill="D9D9D9"/>
          </w:tcPr>
          <w:p w14:paraId="7705A411" w14:textId="77777777" w:rsidR="005C67E5" w:rsidRPr="00D05B70" w:rsidRDefault="005C67E5" w:rsidP="00D05B70">
            <w:pPr>
              <w:autoSpaceDE w:val="0"/>
              <w:autoSpaceDN w:val="0"/>
              <w:adjustRightInd w:val="0"/>
              <w:spacing w:line="360" w:lineRule="auto"/>
              <w:jc w:val="center"/>
              <w:rPr>
                <w:rFonts w:ascii="Arial" w:eastAsia="Calibri" w:hAnsi="Arial" w:cs="Arial"/>
                <w:b/>
                <w:color w:val="002060"/>
                <w:sz w:val="24"/>
                <w:szCs w:val="24"/>
                <w:lang w:val="es-ES"/>
              </w:rPr>
            </w:pPr>
            <w:r w:rsidRPr="00D05B70">
              <w:rPr>
                <w:rFonts w:ascii="Arial" w:eastAsia="Calibri" w:hAnsi="Arial" w:cs="Arial"/>
                <w:b/>
                <w:color w:val="002060"/>
                <w:sz w:val="24"/>
                <w:szCs w:val="24"/>
                <w:lang w:val="es-ES"/>
              </w:rPr>
              <w:t>Prontuario</w:t>
            </w:r>
          </w:p>
        </w:tc>
      </w:tr>
      <w:tr w:rsidR="005C67E5" w:rsidRPr="00D05B70" w14:paraId="1C43D488" w14:textId="77777777" w:rsidTr="00D05B70">
        <w:trPr>
          <w:trHeight w:val="2450"/>
        </w:trPr>
        <w:tc>
          <w:tcPr>
            <w:tcW w:w="9923" w:type="dxa"/>
          </w:tcPr>
          <w:p w14:paraId="53165EE8" w14:textId="0F685EAD" w:rsidR="005C67E5" w:rsidRPr="00D05B70" w:rsidRDefault="005C67E5" w:rsidP="00D05B70">
            <w:pPr>
              <w:autoSpaceDE w:val="0"/>
              <w:autoSpaceDN w:val="0"/>
              <w:adjustRightInd w:val="0"/>
              <w:spacing w:line="360" w:lineRule="auto"/>
              <w:jc w:val="both"/>
              <w:rPr>
                <w:rFonts w:ascii="Arial" w:hAnsi="Arial" w:cs="Arial"/>
                <w:sz w:val="24"/>
                <w:szCs w:val="24"/>
              </w:rPr>
            </w:pPr>
            <w:r w:rsidRPr="00D05B70">
              <w:rPr>
                <w:rFonts w:ascii="Arial" w:hAnsi="Arial" w:cs="Arial"/>
                <w:sz w:val="24"/>
                <w:szCs w:val="24"/>
              </w:rPr>
              <w:t>El texto explica que fijar precios en servicios debe basarse tanto en los costos como en el valor que el cliente percibe. Destaca que, debido a la imposibilidad de almacenar los servicios, es necesario equilibrar estratégicamente la demanda mediante técnicas como precios diferenciados y promociones selectivas. Asimismo, señala que estas acciones ayudan a mejorar el uso de la capacidad, reducir la saturación y ofrecer una experiencia más cons</w:t>
            </w:r>
            <w:r w:rsidR="00D05B70">
              <w:rPr>
                <w:rFonts w:ascii="Arial" w:hAnsi="Arial" w:cs="Arial"/>
                <w:sz w:val="24"/>
                <w:szCs w:val="24"/>
              </w:rPr>
              <w:t>istente para los usuarios</w:t>
            </w:r>
          </w:p>
        </w:tc>
      </w:tr>
    </w:tbl>
    <w:p w14:paraId="713D2E9C" w14:textId="77777777" w:rsidR="005C67E5" w:rsidRPr="00D05B70" w:rsidRDefault="005C67E5" w:rsidP="00D05B70">
      <w:pPr>
        <w:spacing w:line="360" w:lineRule="auto"/>
        <w:jc w:val="both"/>
        <w:rPr>
          <w:rFonts w:ascii="Arial" w:hAnsi="Arial" w:cs="Arial"/>
          <w:b/>
          <w:bCs/>
          <w:sz w:val="24"/>
          <w:szCs w:val="24"/>
        </w:rPr>
      </w:pPr>
    </w:p>
    <w:p w14:paraId="17652429" w14:textId="64939B79" w:rsidR="008B7EE7" w:rsidRPr="00D05B70" w:rsidRDefault="005C67E5" w:rsidP="00D05B70">
      <w:pPr>
        <w:pStyle w:val="Encabezado"/>
        <w:tabs>
          <w:tab w:val="right" w:pos="8080"/>
          <w:tab w:val="left" w:pos="8222"/>
        </w:tabs>
        <w:spacing w:line="360" w:lineRule="auto"/>
        <w:ind w:right="855"/>
        <w:rPr>
          <w:rFonts w:ascii="Arial" w:hAnsi="Arial" w:cs="Arial"/>
          <w:i/>
          <w:sz w:val="24"/>
          <w:szCs w:val="24"/>
        </w:rPr>
      </w:pPr>
      <w:r w:rsidRPr="00D05B70">
        <w:rPr>
          <w:rFonts w:ascii="Arial" w:hAnsi="Arial" w:cs="Arial"/>
          <w:i/>
          <w:sz w:val="24"/>
          <w:szCs w:val="24"/>
        </w:rPr>
        <w:t>Formato elaborado por el Dr. Agustín Manig Valenzuela y utili</w:t>
      </w:r>
      <w:r w:rsidR="00D05B70">
        <w:rPr>
          <w:rFonts w:ascii="Arial" w:hAnsi="Arial" w:cs="Arial"/>
          <w:i/>
          <w:sz w:val="24"/>
          <w:szCs w:val="24"/>
        </w:rPr>
        <w:t>zado sólo para fines académicos</w:t>
      </w:r>
    </w:p>
    <w:p w14:paraId="76DE5AEF" w14:textId="3791950A" w:rsidR="008E7BFD" w:rsidRPr="00D05B70" w:rsidRDefault="00697810" w:rsidP="00D05B70">
      <w:pPr>
        <w:pStyle w:val="Ttulo1"/>
        <w:spacing w:line="360" w:lineRule="auto"/>
        <w:rPr>
          <w:rFonts w:ascii="Arial" w:hAnsi="Arial" w:cs="Arial"/>
          <w:sz w:val="24"/>
          <w:szCs w:val="24"/>
        </w:rPr>
      </w:pPr>
      <w:bookmarkStart w:id="5" w:name="_Toc214138124"/>
      <w:r w:rsidRPr="00D05B70">
        <w:rPr>
          <w:rFonts w:ascii="Arial" w:hAnsi="Arial" w:cs="Arial"/>
          <w:sz w:val="24"/>
          <w:szCs w:val="24"/>
        </w:rPr>
        <w:lastRenderedPageBreak/>
        <w:t>Unidad 3</w:t>
      </w:r>
      <w:r w:rsidR="008E7BFD" w:rsidRPr="00D05B70">
        <w:rPr>
          <w:rFonts w:ascii="Arial" w:hAnsi="Arial" w:cs="Arial"/>
          <w:sz w:val="24"/>
          <w:szCs w:val="24"/>
        </w:rPr>
        <w:t>: Función estratégica de la calidad en la prestación de servicios</w:t>
      </w:r>
      <w:bookmarkEnd w:id="5"/>
    </w:p>
    <w:p w14:paraId="5865B667" w14:textId="77777777" w:rsidR="008E7BFD" w:rsidRPr="00D05B70" w:rsidRDefault="008E7BFD" w:rsidP="00D05B70">
      <w:pPr>
        <w:spacing w:line="360" w:lineRule="auto"/>
        <w:jc w:val="both"/>
        <w:rPr>
          <w:rFonts w:ascii="Arial" w:hAnsi="Arial" w:cs="Arial"/>
          <w:i/>
          <w:sz w:val="24"/>
          <w:szCs w:val="24"/>
        </w:rPr>
      </w:pPr>
      <w:r w:rsidRPr="00D05B70">
        <w:rPr>
          <w:rFonts w:ascii="Arial" w:hAnsi="Arial" w:cs="Arial"/>
          <w:i/>
          <w:sz w:val="24"/>
          <w:szCs w:val="24"/>
        </w:rPr>
        <w:t xml:space="preserve">3.1 Modelos de calidad (Gaps, SERVQUAL) Kano, NPS/CSAT/CES. </w:t>
      </w:r>
    </w:p>
    <w:p w14:paraId="2E6E23E5" w14:textId="77777777" w:rsidR="008E7BFD" w:rsidRPr="00D05B70" w:rsidRDefault="008E7BFD" w:rsidP="00D05B70">
      <w:pPr>
        <w:spacing w:line="360" w:lineRule="auto"/>
        <w:jc w:val="both"/>
        <w:rPr>
          <w:rFonts w:ascii="Arial" w:hAnsi="Arial" w:cs="Arial"/>
          <w:i/>
          <w:sz w:val="24"/>
          <w:szCs w:val="24"/>
        </w:rPr>
      </w:pPr>
      <w:r w:rsidRPr="00D05B70">
        <w:rPr>
          <w:rFonts w:ascii="Arial" w:hAnsi="Arial" w:cs="Arial"/>
          <w:i/>
          <w:sz w:val="24"/>
          <w:szCs w:val="24"/>
        </w:rPr>
        <w:t xml:space="preserve">3.2 Service recovery. </w:t>
      </w:r>
    </w:p>
    <w:p w14:paraId="5D5059AA" w14:textId="77777777" w:rsidR="008E7BFD" w:rsidRPr="00D05B70" w:rsidRDefault="008E7BFD" w:rsidP="00D05B70">
      <w:pPr>
        <w:spacing w:line="360" w:lineRule="auto"/>
        <w:jc w:val="both"/>
        <w:rPr>
          <w:rFonts w:ascii="Arial" w:hAnsi="Arial" w:cs="Arial"/>
          <w:i/>
          <w:sz w:val="24"/>
          <w:szCs w:val="24"/>
        </w:rPr>
      </w:pPr>
      <w:r w:rsidRPr="00D05B70">
        <w:rPr>
          <w:rFonts w:ascii="Arial" w:hAnsi="Arial" w:cs="Arial"/>
          <w:i/>
          <w:sz w:val="24"/>
          <w:szCs w:val="24"/>
        </w:rPr>
        <w:t xml:space="preserve">3.3 KPls, SLAs. </w:t>
      </w:r>
    </w:p>
    <w:p w14:paraId="23DFBD43" w14:textId="76267DAE" w:rsidR="00697810" w:rsidRPr="00D05B70" w:rsidRDefault="008E7BFD" w:rsidP="00D05B70">
      <w:pPr>
        <w:spacing w:line="360" w:lineRule="auto"/>
        <w:jc w:val="both"/>
        <w:rPr>
          <w:rFonts w:ascii="Arial" w:hAnsi="Arial" w:cs="Arial"/>
          <w:i/>
          <w:sz w:val="24"/>
          <w:szCs w:val="24"/>
        </w:rPr>
      </w:pPr>
      <w:r w:rsidRPr="00D05B70">
        <w:rPr>
          <w:rFonts w:ascii="Arial" w:hAnsi="Arial" w:cs="Arial"/>
          <w:i/>
          <w:sz w:val="24"/>
          <w:szCs w:val="24"/>
        </w:rPr>
        <w:t>3.4 Mejora continua (PDCA)</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697810" w:rsidRPr="00D05B70" w14:paraId="7160DAD0" w14:textId="77777777" w:rsidTr="001B4699">
        <w:tc>
          <w:tcPr>
            <w:tcW w:w="2836" w:type="dxa"/>
            <w:shd w:val="clear" w:color="auto" w:fill="F2F2F2"/>
          </w:tcPr>
          <w:p w14:paraId="4FC1533B" w14:textId="77777777" w:rsidR="00697810" w:rsidRPr="00D05B70" w:rsidRDefault="00697810" w:rsidP="00D05B70">
            <w:pPr>
              <w:autoSpaceDE w:val="0"/>
              <w:autoSpaceDN w:val="0"/>
              <w:adjustRightInd w:val="0"/>
              <w:spacing w:line="360" w:lineRule="auto"/>
              <w:rPr>
                <w:rFonts w:ascii="Arial" w:eastAsia="Calibri" w:hAnsi="Arial" w:cs="Arial"/>
                <w:color w:val="002060"/>
                <w:sz w:val="24"/>
                <w:szCs w:val="24"/>
                <w:lang w:val="es-ES"/>
              </w:rPr>
            </w:pPr>
            <w:r w:rsidRPr="00D05B70">
              <w:rPr>
                <w:rFonts w:ascii="Arial" w:eastAsia="Calibri" w:hAnsi="Arial" w:cs="Arial"/>
                <w:color w:val="002060"/>
                <w:sz w:val="24"/>
                <w:szCs w:val="24"/>
                <w:lang w:val="es-ES"/>
              </w:rPr>
              <w:t>Tema:</w:t>
            </w:r>
          </w:p>
        </w:tc>
        <w:tc>
          <w:tcPr>
            <w:tcW w:w="7229" w:type="dxa"/>
          </w:tcPr>
          <w:p w14:paraId="46A2DF64" w14:textId="5B6BA044" w:rsidR="00697810" w:rsidRPr="00D05B70" w:rsidRDefault="00697810" w:rsidP="00D05B70">
            <w:pPr>
              <w:autoSpaceDE w:val="0"/>
              <w:autoSpaceDN w:val="0"/>
              <w:adjustRightInd w:val="0"/>
              <w:spacing w:line="360" w:lineRule="auto"/>
              <w:jc w:val="center"/>
              <w:rPr>
                <w:rFonts w:ascii="Arial" w:eastAsia="Calibri" w:hAnsi="Arial" w:cs="Arial"/>
                <w:b/>
                <w:i/>
                <w:sz w:val="24"/>
                <w:szCs w:val="24"/>
                <w:lang w:val="es-ES"/>
              </w:rPr>
            </w:pPr>
            <w:r w:rsidRPr="00D05B70">
              <w:rPr>
                <w:rStyle w:val="nfasis"/>
                <w:rFonts w:ascii="Arial" w:hAnsi="Arial" w:cs="Arial"/>
                <w:b/>
                <w:i w:val="0"/>
                <w:sz w:val="24"/>
                <w:szCs w:val="24"/>
              </w:rPr>
              <w:t>Service Recovery</w:t>
            </w:r>
          </w:p>
        </w:tc>
      </w:tr>
    </w:tbl>
    <w:p w14:paraId="2BB75573" w14:textId="77777777" w:rsidR="00697810" w:rsidRPr="00D05B70" w:rsidRDefault="00697810" w:rsidP="00D05B70">
      <w:pPr>
        <w:autoSpaceDE w:val="0"/>
        <w:autoSpaceDN w:val="0"/>
        <w:adjustRightInd w:val="0"/>
        <w:spacing w:line="360" w:lineRule="auto"/>
        <w:ind w:left="1080"/>
        <w:rPr>
          <w:rFonts w:ascii="Arial" w:eastAsia="Calibri" w:hAnsi="Arial" w:cs="Arial"/>
          <w:color w:val="002060"/>
          <w:sz w:val="24"/>
          <w:szCs w:val="24"/>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3"/>
        <w:gridCol w:w="9072"/>
      </w:tblGrid>
      <w:tr w:rsidR="00697810" w:rsidRPr="00D05B70" w14:paraId="01BAF5E8" w14:textId="77777777" w:rsidTr="001B4699">
        <w:tc>
          <w:tcPr>
            <w:tcW w:w="10065" w:type="dxa"/>
            <w:gridSpan w:val="2"/>
            <w:shd w:val="clear" w:color="auto" w:fill="F2F2F2"/>
          </w:tcPr>
          <w:p w14:paraId="3355E83B" w14:textId="77777777" w:rsidR="00697810" w:rsidRPr="00D05B70" w:rsidRDefault="00697810" w:rsidP="00D05B70">
            <w:pPr>
              <w:autoSpaceDE w:val="0"/>
              <w:autoSpaceDN w:val="0"/>
              <w:adjustRightInd w:val="0"/>
              <w:spacing w:line="360" w:lineRule="auto"/>
              <w:rPr>
                <w:rFonts w:ascii="Arial" w:eastAsia="Calibri" w:hAnsi="Arial" w:cs="Arial"/>
                <w:b/>
                <w:color w:val="002060"/>
                <w:sz w:val="24"/>
                <w:szCs w:val="24"/>
                <w:lang w:val="es-ES"/>
              </w:rPr>
            </w:pPr>
            <w:r w:rsidRPr="00D05B70">
              <w:rPr>
                <w:rFonts w:ascii="Arial" w:eastAsia="Calibri" w:hAnsi="Arial" w:cs="Arial"/>
                <w:b/>
                <w:color w:val="002060"/>
                <w:sz w:val="24"/>
                <w:szCs w:val="24"/>
                <w:lang w:val="es-ES"/>
              </w:rPr>
              <w:t>Ficha de la fuente de información.</w:t>
            </w:r>
          </w:p>
        </w:tc>
      </w:tr>
      <w:tr w:rsidR="00697810" w:rsidRPr="00D05B70" w14:paraId="79347768" w14:textId="77777777" w:rsidTr="00697810">
        <w:trPr>
          <w:trHeight w:val="493"/>
        </w:trPr>
        <w:tc>
          <w:tcPr>
            <w:tcW w:w="993" w:type="dxa"/>
          </w:tcPr>
          <w:p w14:paraId="7C7869EB" w14:textId="31C7AE09" w:rsidR="00697810" w:rsidRPr="00D05B70" w:rsidRDefault="00697810" w:rsidP="00D05B70">
            <w:pPr>
              <w:autoSpaceDE w:val="0"/>
              <w:autoSpaceDN w:val="0"/>
              <w:adjustRightInd w:val="0"/>
              <w:spacing w:line="360" w:lineRule="auto"/>
              <w:rPr>
                <w:rFonts w:ascii="Arial" w:eastAsia="Calibri" w:hAnsi="Arial" w:cs="Arial"/>
                <w:color w:val="002060"/>
                <w:sz w:val="24"/>
                <w:szCs w:val="24"/>
                <w:lang w:val="es-ES"/>
              </w:rPr>
            </w:pPr>
            <w:r w:rsidRPr="00D05B70">
              <w:rPr>
                <w:rFonts w:ascii="Arial" w:eastAsia="Calibri" w:hAnsi="Arial" w:cs="Arial"/>
                <w:color w:val="002060"/>
                <w:sz w:val="24"/>
                <w:szCs w:val="24"/>
                <w:lang w:val="es-ES"/>
              </w:rPr>
              <w:t>No. 3</w:t>
            </w:r>
          </w:p>
        </w:tc>
        <w:tc>
          <w:tcPr>
            <w:tcW w:w="9072" w:type="dxa"/>
          </w:tcPr>
          <w:p w14:paraId="328455C2" w14:textId="77777777" w:rsidR="00697810" w:rsidRPr="00D05B70" w:rsidRDefault="00697810" w:rsidP="00D05B70">
            <w:pPr>
              <w:autoSpaceDE w:val="0"/>
              <w:autoSpaceDN w:val="0"/>
              <w:adjustRightInd w:val="0"/>
              <w:spacing w:line="360" w:lineRule="auto"/>
              <w:rPr>
                <w:rFonts w:ascii="Arial" w:eastAsia="Calibri" w:hAnsi="Arial" w:cs="Arial"/>
                <w:i/>
                <w:color w:val="002060"/>
                <w:sz w:val="24"/>
                <w:szCs w:val="24"/>
                <w:lang w:val="es-ES"/>
              </w:rPr>
            </w:pPr>
            <w:r w:rsidRPr="00D05B70">
              <w:rPr>
                <w:rFonts w:ascii="Arial" w:eastAsia="Calibri" w:hAnsi="Arial" w:cs="Arial"/>
                <w:i/>
                <w:sz w:val="24"/>
                <w:szCs w:val="24"/>
                <w:lang w:val="es-ES"/>
              </w:rPr>
              <w:t>Google académico</w:t>
            </w:r>
          </w:p>
          <w:p w14:paraId="19DAC7EC" w14:textId="77777777" w:rsidR="00697810" w:rsidRPr="00D05B70" w:rsidRDefault="00697810" w:rsidP="00D05B70">
            <w:pPr>
              <w:spacing w:line="360" w:lineRule="auto"/>
              <w:rPr>
                <w:rFonts w:ascii="Arial" w:eastAsia="Calibri" w:hAnsi="Arial" w:cs="Arial"/>
                <w:sz w:val="24"/>
                <w:szCs w:val="24"/>
                <w:lang w:val="es-ES"/>
              </w:rPr>
            </w:pPr>
            <w:r w:rsidRPr="00D05B70">
              <w:rPr>
                <w:rFonts w:ascii="Arial" w:eastAsia="Calibri" w:hAnsi="Arial" w:cs="Arial"/>
                <w:color w:val="002060"/>
                <w:sz w:val="24"/>
                <w:szCs w:val="24"/>
                <w:lang w:val="es-ES"/>
              </w:rPr>
              <w:t xml:space="preserve"> </w:t>
            </w:r>
          </w:p>
        </w:tc>
      </w:tr>
      <w:tr w:rsidR="00697810" w:rsidRPr="00D05B70" w14:paraId="51F7D234" w14:textId="77777777" w:rsidTr="00D05B70">
        <w:trPr>
          <w:trHeight w:val="1121"/>
        </w:trPr>
        <w:tc>
          <w:tcPr>
            <w:tcW w:w="10065" w:type="dxa"/>
            <w:gridSpan w:val="2"/>
          </w:tcPr>
          <w:p w14:paraId="6026F7A8" w14:textId="1AC3C52A" w:rsidR="00697810" w:rsidRPr="00D05B70" w:rsidRDefault="00697810" w:rsidP="00D05B70">
            <w:pPr>
              <w:autoSpaceDE w:val="0"/>
              <w:autoSpaceDN w:val="0"/>
              <w:adjustRightInd w:val="0"/>
              <w:spacing w:line="360" w:lineRule="auto"/>
              <w:rPr>
                <w:rFonts w:ascii="Arial" w:hAnsi="Arial" w:cs="Arial"/>
                <w:noProof/>
                <w:sz w:val="24"/>
                <w:szCs w:val="24"/>
                <w:lang w:eastAsia="es-MX"/>
              </w:rPr>
            </w:pPr>
            <w:r w:rsidRPr="00D05B70">
              <w:rPr>
                <w:rFonts w:ascii="Arial" w:eastAsia="Calibri" w:hAnsi="Arial" w:cs="Arial"/>
                <w:color w:val="002060"/>
                <w:sz w:val="24"/>
                <w:szCs w:val="24"/>
                <w:lang w:val="es-ES"/>
              </w:rPr>
              <w:t xml:space="preserve">Palabras claves. </w:t>
            </w:r>
            <w:r w:rsidRPr="00D05B70">
              <w:rPr>
                <w:rFonts w:ascii="Arial" w:hAnsi="Arial" w:cs="Arial"/>
                <w:sz w:val="24"/>
                <w:szCs w:val="24"/>
                <w:lang w:val="es-ES"/>
              </w:rPr>
              <w:t>S</w:t>
            </w:r>
            <w:r w:rsidRPr="00D05B70">
              <w:rPr>
                <w:rFonts w:ascii="Arial" w:hAnsi="Arial" w:cs="Arial"/>
                <w:sz w:val="24"/>
                <w:szCs w:val="24"/>
              </w:rPr>
              <w:t>ervice recovery, recuperación del servicio, fallas del servicio, satisfacción del cliente, estrategias de compensación.</w:t>
            </w:r>
          </w:p>
        </w:tc>
      </w:tr>
      <w:tr w:rsidR="00697810" w:rsidRPr="00D05B70" w14:paraId="0D438929" w14:textId="77777777" w:rsidTr="00697810">
        <w:trPr>
          <w:trHeight w:val="1334"/>
        </w:trPr>
        <w:tc>
          <w:tcPr>
            <w:tcW w:w="10065" w:type="dxa"/>
            <w:gridSpan w:val="2"/>
          </w:tcPr>
          <w:p w14:paraId="2B47FD7E" w14:textId="77777777" w:rsidR="00697810" w:rsidRPr="00D05B70" w:rsidRDefault="00697810" w:rsidP="00D05B70">
            <w:pPr>
              <w:autoSpaceDE w:val="0"/>
              <w:autoSpaceDN w:val="0"/>
              <w:adjustRightInd w:val="0"/>
              <w:spacing w:line="360" w:lineRule="auto"/>
              <w:rPr>
                <w:rFonts w:ascii="Arial" w:eastAsia="Calibri" w:hAnsi="Arial" w:cs="Arial"/>
                <w:color w:val="002060"/>
                <w:sz w:val="24"/>
                <w:szCs w:val="24"/>
                <w:lang w:val="en-US"/>
              </w:rPr>
            </w:pPr>
            <w:r w:rsidRPr="00D05B70">
              <w:rPr>
                <w:rFonts w:ascii="Arial" w:eastAsia="Calibri" w:hAnsi="Arial" w:cs="Arial"/>
                <w:color w:val="002060"/>
                <w:sz w:val="24"/>
                <w:szCs w:val="24"/>
                <w:lang w:val="en-US"/>
              </w:rPr>
              <w:t>Referencia APA.</w:t>
            </w:r>
          </w:p>
          <w:p w14:paraId="03D49422" w14:textId="636FAF80" w:rsidR="00697810" w:rsidRPr="00D05B70" w:rsidRDefault="00697810" w:rsidP="00D05B70">
            <w:pPr>
              <w:pStyle w:val="NormalWeb"/>
              <w:spacing w:line="360" w:lineRule="auto"/>
              <w:rPr>
                <w:rFonts w:ascii="Arial" w:hAnsi="Arial" w:cs="Arial"/>
              </w:rPr>
            </w:pPr>
            <w:r w:rsidRPr="00D05B70">
              <w:rPr>
                <w:rFonts w:ascii="Arial" w:hAnsi="Arial" w:cs="Arial"/>
                <w:lang w:val="en-US"/>
              </w:rPr>
              <w:t xml:space="preserve">Michel, S., Bowen, D., &amp; Johnston, R. (2009). </w:t>
            </w:r>
            <w:r w:rsidRPr="00D05B70">
              <w:rPr>
                <w:rStyle w:val="Textoennegrita"/>
                <w:rFonts w:ascii="Arial" w:hAnsi="Arial" w:cs="Arial"/>
                <w:lang w:val="en-US"/>
              </w:rPr>
              <w:t>Why service recovery fails: Tensions among customer, employee, and organization</w:t>
            </w:r>
            <w:r w:rsidRPr="00D05B70">
              <w:rPr>
                <w:rFonts w:ascii="Arial" w:hAnsi="Arial" w:cs="Arial"/>
                <w:lang w:val="en-US"/>
              </w:rPr>
              <w:t xml:space="preserve">. </w:t>
            </w:r>
            <w:r w:rsidRPr="00D05B70">
              <w:rPr>
                <w:rStyle w:val="nfasis"/>
                <w:rFonts w:ascii="Arial" w:hAnsi="Arial" w:cs="Arial"/>
              </w:rPr>
              <w:t>Journal of Service Management</w:t>
            </w:r>
            <w:r w:rsidRPr="00D05B70">
              <w:rPr>
                <w:rFonts w:ascii="Arial" w:hAnsi="Arial" w:cs="Arial"/>
              </w:rPr>
              <w:t>, 20(3), 253–273.</w:t>
            </w:r>
          </w:p>
        </w:tc>
      </w:tr>
      <w:tr w:rsidR="00697810" w:rsidRPr="00D05B70" w14:paraId="3DC12E0F" w14:textId="77777777" w:rsidTr="001B4699">
        <w:tc>
          <w:tcPr>
            <w:tcW w:w="10065" w:type="dxa"/>
            <w:gridSpan w:val="2"/>
          </w:tcPr>
          <w:p w14:paraId="72F1B532" w14:textId="16474608" w:rsidR="00697810" w:rsidRPr="00D05B70" w:rsidRDefault="00697810" w:rsidP="00D05B70">
            <w:pPr>
              <w:autoSpaceDE w:val="0"/>
              <w:autoSpaceDN w:val="0"/>
              <w:adjustRightInd w:val="0"/>
              <w:spacing w:line="360" w:lineRule="auto"/>
              <w:jc w:val="center"/>
              <w:rPr>
                <w:rFonts w:ascii="Arial" w:eastAsia="Calibri" w:hAnsi="Arial" w:cs="Arial"/>
                <w:color w:val="002060"/>
                <w:sz w:val="24"/>
                <w:szCs w:val="24"/>
                <w:lang w:val="es-ES"/>
              </w:rPr>
            </w:pPr>
            <w:r w:rsidRPr="00D05B70">
              <w:rPr>
                <w:rFonts w:ascii="Arial" w:eastAsia="Calibri" w:hAnsi="Arial" w:cs="Arial"/>
                <w:color w:val="002060"/>
                <w:sz w:val="24"/>
                <w:szCs w:val="24"/>
                <w:lang w:val="es-ES"/>
              </w:rPr>
              <w:t xml:space="preserve">RESUMEN </w:t>
            </w:r>
          </w:p>
        </w:tc>
      </w:tr>
      <w:tr w:rsidR="00697810" w:rsidRPr="00D05B70" w14:paraId="3B358634" w14:textId="77777777" w:rsidTr="001B4699">
        <w:tc>
          <w:tcPr>
            <w:tcW w:w="10065" w:type="dxa"/>
            <w:gridSpan w:val="2"/>
          </w:tcPr>
          <w:p w14:paraId="2D128999" w14:textId="026279BB" w:rsidR="00697810" w:rsidRPr="00D05B70" w:rsidRDefault="00697810" w:rsidP="00D05B70">
            <w:pPr>
              <w:autoSpaceDE w:val="0"/>
              <w:autoSpaceDN w:val="0"/>
              <w:adjustRightInd w:val="0"/>
              <w:spacing w:line="360" w:lineRule="auto"/>
              <w:jc w:val="both"/>
              <w:rPr>
                <w:rFonts w:ascii="Arial" w:eastAsia="Calibri" w:hAnsi="Arial" w:cs="Arial"/>
                <w:color w:val="002060"/>
                <w:sz w:val="24"/>
                <w:szCs w:val="24"/>
                <w:lang w:val="es-ES"/>
              </w:rPr>
            </w:pPr>
            <w:r w:rsidRPr="00D05B70">
              <w:rPr>
                <w:rFonts w:ascii="Arial" w:hAnsi="Arial" w:cs="Arial"/>
                <w:sz w:val="24"/>
                <w:szCs w:val="24"/>
              </w:rPr>
              <w:t xml:space="preserve">El artículo analiza por qué las estrategias de recuperación del servicio no siempre logran satisfacer al cliente después de una falla. Los autores explican que la recuperación del servicio incluye acciones como disculpas, compensaciones, soluciones rápidas y empoderamiento del personal. Sin embargo, muchos procesos fallan porque existen </w:t>
            </w:r>
            <w:r w:rsidRPr="00D05B70">
              <w:rPr>
                <w:rFonts w:ascii="Arial" w:hAnsi="Arial" w:cs="Arial"/>
                <w:sz w:val="24"/>
                <w:szCs w:val="24"/>
              </w:rPr>
              <w:lastRenderedPageBreak/>
              <w:t>tensiones entre los intereses del cliente, del empleado y de la organización. El texto destaca que una buena recuperación puede incluso aumentar la satisfacción del cliente más allá del nivel original, mientras que una mala respuesta intensifica la insatisfacción y el abandono.</w:t>
            </w:r>
          </w:p>
        </w:tc>
      </w:tr>
    </w:tbl>
    <w:p w14:paraId="0F6A47A5" w14:textId="77777777" w:rsidR="00697810" w:rsidRPr="00D05B70" w:rsidRDefault="00697810" w:rsidP="00D05B70">
      <w:pPr>
        <w:autoSpaceDE w:val="0"/>
        <w:autoSpaceDN w:val="0"/>
        <w:adjustRightInd w:val="0"/>
        <w:spacing w:line="360" w:lineRule="auto"/>
        <w:rPr>
          <w:rFonts w:ascii="Arial" w:eastAsia="Calibri" w:hAnsi="Arial" w:cs="Arial"/>
          <w:color w:val="002060"/>
          <w:sz w:val="24"/>
          <w:szCs w:val="24"/>
          <w:lang w:val="es-ES"/>
        </w:rPr>
      </w:pPr>
    </w:p>
    <w:tbl>
      <w:tblPr>
        <w:tblW w:w="9923"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697810" w:rsidRPr="00D05B70" w14:paraId="3FE59351" w14:textId="77777777" w:rsidTr="001B4699">
        <w:tc>
          <w:tcPr>
            <w:tcW w:w="9923" w:type="dxa"/>
            <w:shd w:val="clear" w:color="auto" w:fill="D9D9D9"/>
          </w:tcPr>
          <w:p w14:paraId="0F3358E2" w14:textId="593D36F4" w:rsidR="00697810" w:rsidRPr="00D05B70" w:rsidRDefault="00697810" w:rsidP="00D05B70">
            <w:pPr>
              <w:autoSpaceDE w:val="0"/>
              <w:autoSpaceDN w:val="0"/>
              <w:adjustRightInd w:val="0"/>
              <w:spacing w:line="360" w:lineRule="auto"/>
              <w:jc w:val="center"/>
              <w:rPr>
                <w:rFonts w:ascii="Arial" w:eastAsia="Calibri" w:hAnsi="Arial" w:cs="Arial"/>
                <w:color w:val="002060"/>
                <w:sz w:val="24"/>
                <w:szCs w:val="24"/>
                <w:lang w:val="es-ES"/>
              </w:rPr>
            </w:pPr>
            <w:r w:rsidRPr="00D05B70">
              <w:rPr>
                <w:rFonts w:ascii="Arial" w:eastAsia="Calibri" w:hAnsi="Arial" w:cs="Arial"/>
                <w:color w:val="002060"/>
                <w:sz w:val="24"/>
                <w:szCs w:val="24"/>
                <w:lang w:val="es-ES"/>
              </w:rPr>
              <w:t xml:space="preserve">Texto </w:t>
            </w:r>
          </w:p>
        </w:tc>
      </w:tr>
      <w:tr w:rsidR="00697810" w:rsidRPr="00D05B70" w14:paraId="5530D7BB" w14:textId="77777777" w:rsidTr="001B4699">
        <w:tc>
          <w:tcPr>
            <w:tcW w:w="9923" w:type="dxa"/>
          </w:tcPr>
          <w:p w14:paraId="083B42CD" w14:textId="77777777" w:rsidR="00697810" w:rsidRPr="00D05B70" w:rsidRDefault="00697810" w:rsidP="00D05B70">
            <w:pPr>
              <w:pStyle w:val="NormalWeb"/>
              <w:spacing w:line="360" w:lineRule="auto"/>
              <w:rPr>
                <w:rFonts w:ascii="Arial" w:hAnsi="Arial" w:cs="Arial"/>
              </w:rPr>
            </w:pPr>
            <w:r w:rsidRPr="00D05B70">
              <w:rPr>
                <w:rFonts w:ascii="Arial" w:hAnsi="Arial" w:cs="Arial"/>
              </w:rPr>
              <w:t>  “Una recuperación exitosa puede convertir una experiencia negativa en un incremento significativo de la lealtad del cliente, fenómeno conocido como the service recovery paradox” (Michel et al., 2009, p. 255).</w:t>
            </w:r>
          </w:p>
          <w:p w14:paraId="647E5503" w14:textId="77777777" w:rsidR="00697810" w:rsidRPr="00D05B70" w:rsidRDefault="00697810" w:rsidP="00D05B70">
            <w:pPr>
              <w:pStyle w:val="NormalWeb"/>
              <w:spacing w:line="360" w:lineRule="auto"/>
              <w:rPr>
                <w:rFonts w:ascii="Arial" w:hAnsi="Arial" w:cs="Arial"/>
              </w:rPr>
            </w:pPr>
            <w:r w:rsidRPr="00D05B70">
              <w:rPr>
                <w:rFonts w:ascii="Arial" w:hAnsi="Arial" w:cs="Arial"/>
              </w:rPr>
              <w:t>  “Muchas fallas en la recuperación ocurren porque los empleados no cuentan con suficiente autoridad para corregir el problema en el momento” (p. 260).</w:t>
            </w:r>
          </w:p>
          <w:p w14:paraId="706B0878" w14:textId="1C720629" w:rsidR="00697810" w:rsidRPr="00D05B70" w:rsidRDefault="00697810" w:rsidP="00D05B70">
            <w:pPr>
              <w:pStyle w:val="NormalWeb"/>
              <w:spacing w:line="360" w:lineRule="auto"/>
              <w:rPr>
                <w:rFonts w:ascii="Arial" w:hAnsi="Arial" w:cs="Arial"/>
              </w:rPr>
            </w:pPr>
            <w:r w:rsidRPr="00D05B70">
              <w:rPr>
                <w:rFonts w:ascii="Arial" w:hAnsi="Arial" w:cs="Arial"/>
              </w:rPr>
              <w:t>  “La falta de coherencia entre las políticas internas y las expectativas del cliente provoca que la respuesta a la falla sea percibida como insuficiente” (p. 266).</w:t>
            </w:r>
          </w:p>
        </w:tc>
      </w:tr>
      <w:tr w:rsidR="00697810" w:rsidRPr="00D05B70" w14:paraId="33D68A3E" w14:textId="77777777" w:rsidTr="001B4699">
        <w:tc>
          <w:tcPr>
            <w:tcW w:w="9923" w:type="dxa"/>
            <w:shd w:val="clear" w:color="auto" w:fill="D9D9D9"/>
          </w:tcPr>
          <w:p w14:paraId="4CCB71B8" w14:textId="77777777" w:rsidR="00697810" w:rsidRPr="00D05B70" w:rsidRDefault="00697810" w:rsidP="00D05B70">
            <w:pPr>
              <w:autoSpaceDE w:val="0"/>
              <w:autoSpaceDN w:val="0"/>
              <w:adjustRightInd w:val="0"/>
              <w:spacing w:line="360" w:lineRule="auto"/>
              <w:jc w:val="center"/>
              <w:rPr>
                <w:rFonts w:ascii="Arial" w:eastAsia="Calibri" w:hAnsi="Arial" w:cs="Arial"/>
                <w:b/>
                <w:color w:val="002060"/>
                <w:sz w:val="24"/>
                <w:szCs w:val="24"/>
                <w:lang w:val="es-ES"/>
              </w:rPr>
            </w:pPr>
            <w:r w:rsidRPr="00D05B70">
              <w:rPr>
                <w:rFonts w:ascii="Arial" w:eastAsia="Calibri" w:hAnsi="Arial" w:cs="Arial"/>
                <w:b/>
                <w:color w:val="002060"/>
                <w:sz w:val="24"/>
                <w:szCs w:val="24"/>
                <w:lang w:val="es-ES"/>
              </w:rPr>
              <w:t>Prontuario</w:t>
            </w:r>
          </w:p>
        </w:tc>
      </w:tr>
      <w:tr w:rsidR="00697810" w:rsidRPr="00D05B70" w14:paraId="3FB371D8" w14:textId="77777777" w:rsidTr="003F56CE">
        <w:trPr>
          <w:trHeight w:val="3216"/>
        </w:trPr>
        <w:tc>
          <w:tcPr>
            <w:tcW w:w="9923" w:type="dxa"/>
          </w:tcPr>
          <w:p w14:paraId="488243AA" w14:textId="77777777" w:rsidR="00697810" w:rsidRPr="00D05B70" w:rsidRDefault="00697810" w:rsidP="00D05B70">
            <w:pPr>
              <w:autoSpaceDE w:val="0"/>
              <w:autoSpaceDN w:val="0"/>
              <w:adjustRightInd w:val="0"/>
              <w:spacing w:line="360" w:lineRule="auto"/>
              <w:rPr>
                <w:rFonts w:ascii="Arial" w:hAnsi="Arial" w:cs="Arial"/>
                <w:sz w:val="24"/>
                <w:szCs w:val="24"/>
              </w:rPr>
            </w:pPr>
          </w:p>
          <w:p w14:paraId="560CAF71" w14:textId="4903863E" w:rsidR="00697810" w:rsidRPr="00D05B70" w:rsidRDefault="00697810" w:rsidP="00D05B70">
            <w:pPr>
              <w:autoSpaceDE w:val="0"/>
              <w:autoSpaceDN w:val="0"/>
              <w:adjustRightInd w:val="0"/>
              <w:spacing w:line="360" w:lineRule="auto"/>
              <w:jc w:val="both"/>
              <w:rPr>
                <w:rFonts w:ascii="Arial" w:eastAsia="Calibri" w:hAnsi="Arial" w:cs="Arial"/>
                <w:sz w:val="24"/>
                <w:szCs w:val="24"/>
                <w:lang w:val="es-ES"/>
              </w:rPr>
            </w:pPr>
            <w:r w:rsidRPr="00D05B70">
              <w:rPr>
                <w:rFonts w:ascii="Arial" w:hAnsi="Arial" w:cs="Arial"/>
                <w:sz w:val="24"/>
                <w:szCs w:val="24"/>
              </w:rPr>
              <w:t>El texto expone que una recuperación exitosa del servicio puede aumentar la lealtad del cliente cuando la solución es rápida, justa y brindada con empatía. También explica que muchos intentos de recuperación fallan porque los empleados carecen de autoridad para actuar y porque las políticas internas no permiten tomar decisiones flexibles. Finalmente, destaca que la falta de coherencia entre lo que espera el cliente y lo que puede ofrecer la empresa provoca que la recuperaci</w:t>
            </w:r>
            <w:r w:rsidR="003F56CE" w:rsidRPr="00D05B70">
              <w:rPr>
                <w:rFonts w:ascii="Arial" w:hAnsi="Arial" w:cs="Arial"/>
                <w:sz w:val="24"/>
                <w:szCs w:val="24"/>
              </w:rPr>
              <w:t>ón se perciba como insuficiente</w:t>
            </w:r>
          </w:p>
        </w:tc>
      </w:tr>
    </w:tbl>
    <w:p w14:paraId="7E3238DA" w14:textId="77777777" w:rsidR="00697810" w:rsidRPr="00D05B70" w:rsidRDefault="00697810" w:rsidP="00D05B70">
      <w:pPr>
        <w:pStyle w:val="Encabezado"/>
        <w:tabs>
          <w:tab w:val="right" w:pos="8080"/>
          <w:tab w:val="left" w:pos="8222"/>
        </w:tabs>
        <w:spacing w:line="360" w:lineRule="auto"/>
        <w:ind w:right="855"/>
        <w:rPr>
          <w:rFonts w:ascii="Arial" w:hAnsi="Arial" w:cs="Arial"/>
          <w:i/>
          <w:sz w:val="24"/>
          <w:szCs w:val="24"/>
        </w:rPr>
      </w:pPr>
      <w:r w:rsidRPr="00D05B70">
        <w:rPr>
          <w:rFonts w:ascii="Arial" w:hAnsi="Arial" w:cs="Arial"/>
          <w:i/>
          <w:sz w:val="24"/>
          <w:szCs w:val="24"/>
        </w:rPr>
        <w:t>Formato elaborado por el Dr. Agustín Manig Valenzuela y utilizado sólo para fines académicos.</w:t>
      </w:r>
    </w:p>
    <w:p w14:paraId="67BBF276" w14:textId="77777777" w:rsidR="00697810" w:rsidRPr="00D05B70" w:rsidRDefault="00697810" w:rsidP="00D05B70">
      <w:pPr>
        <w:spacing w:line="360" w:lineRule="auto"/>
        <w:jc w:val="both"/>
        <w:rPr>
          <w:rFonts w:ascii="Arial" w:hAnsi="Arial" w:cs="Arial"/>
          <w:b/>
          <w:bCs/>
          <w:sz w:val="24"/>
          <w:szCs w:val="24"/>
        </w:rPr>
      </w:pPr>
    </w:p>
    <w:p w14:paraId="37475C10" w14:textId="78D89116" w:rsidR="003F56CE" w:rsidRPr="00D05B70" w:rsidRDefault="00697810" w:rsidP="00D05B70">
      <w:pPr>
        <w:pStyle w:val="Ttulo1"/>
        <w:spacing w:line="360" w:lineRule="auto"/>
        <w:jc w:val="center"/>
        <w:rPr>
          <w:rFonts w:ascii="Arial" w:hAnsi="Arial" w:cs="Arial"/>
          <w:sz w:val="24"/>
          <w:szCs w:val="24"/>
        </w:rPr>
      </w:pPr>
      <w:bookmarkStart w:id="6" w:name="_Toc214138125"/>
      <w:r w:rsidRPr="00D05B70">
        <w:rPr>
          <w:rFonts w:ascii="Arial" w:hAnsi="Arial" w:cs="Arial"/>
          <w:sz w:val="24"/>
          <w:szCs w:val="24"/>
        </w:rPr>
        <w:lastRenderedPageBreak/>
        <w:t>Unidad 4</w:t>
      </w:r>
      <w:r w:rsidR="003F56CE" w:rsidRPr="00D05B70">
        <w:rPr>
          <w:rFonts w:ascii="Arial" w:hAnsi="Arial" w:cs="Arial"/>
          <w:sz w:val="24"/>
          <w:szCs w:val="24"/>
        </w:rPr>
        <w:t>: Modalidades del marketing de servicios</w:t>
      </w:r>
      <w:bookmarkEnd w:id="6"/>
    </w:p>
    <w:p w14:paraId="697C1FB0" w14:textId="77777777" w:rsidR="003F56CE" w:rsidRPr="00D05B70" w:rsidRDefault="003F56CE" w:rsidP="00D05B70">
      <w:pPr>
        <w:spacing w:line="360" w:lineRule="auto"/>
        <w:rPr>
          <w:rFonts w:ascii="Arial" w:hAnsi="Arial" w:cs="Arial"/>
          <w:i/>
          <w:sz w:val="24"/>
          <w:szCs w:val="24"/>
        </w:rPr>
      </w:pPr>
      <w:r w:rsidRPr="00D05B70">
        <w:rPr>
          <w:rFonts w:ascii="Arial" w:hAnsi="Arial" w:cs="Arial"/>
          <w:i/>
          <w:sz w:val="24"/>
          <w:szCs w:val="24"/>
        </w:rPr>
        <w:t xml:space="preserve">4.1 Marketing interno, externo e interactivo. </w:t>
      </w:r>
    </w:p>
    <w:p w14:paraId="641D4E99" w14:textId="77777777" w:rsidR="003F56CE" w:rsidRPr="00D05B70" w:rsidRDefault="003F56CE" w:rsidP="00D05B70">
      <w:pPr>
        <w:spacing w:line="360" w:lineRule="auto"/>
        <w:rPr>
          <w:rFonts w:ascii="Arial" w:hAnsi="Arial" w:cs="Arial"/>
          <w:i/>
          <w:sz w:val="24"/>
          <w:szCs w:val="24"/>
        </w:rPr>
      </w:pPr>
      <w:r w:rsidRPr="00D05B70">
        <w:rPr>
          <w:rFonts w:ascii="Arial" w:hAnsi="Arial" w:cs="Arial"/>
          <w:i/>
          <w:sz w:val="24"/>
          <w:szCs w:val="24"/>
        </w:rPr>
        <w:t xml:space="preserve">4.2 B2C/B2B, públicos y sin fines de lucro. </w:t>
      </w:r>
    </w:p>
    <w:p w14:paraId="37D0F7CD" w14:textId="77777777" w:rsidR="003F56CE" w:rsidRPr="00D05B70" w:rsidRDefault="003F56CE" w:rsidP="00D05B70">
      <w:pPr>
        <w:spacing w:line="360" w:lineRule="auto"/>
        <w:rPr>
          <w:rFonts w:ascii="Arial" w:hAnsi="Arial" w:cs="Arial"/>
          <w:i/>
          <w:sz w:val="24"/>
          <w:szCs w:val="24"/>
        </w:rPr>
      </w:pPr>
      <w:r w:rsidRPr="00D05B70">
        <w:rPr>
          <w:rFonts w:ascii="Arial" w:hAnsi="Arial" w:cs="Arial"/>
          <w:i/>
          <w:sz w:val="24"/>
          <w:szCs w:val="24"/>
        </w:rPr>
        <w:t xml:space="preserve">4.3 Omnicanalidad y autoservicio digital. </w:t>
      </w:r>
    </w:p>
    <w:p w14:paraId="2612A065" w14:textId="36433081" w:rsidR="00697810" w:rsidRPr="00D05B70" w:rsidRDefault="003F56CE" w:rsidP="00D05B70">
      <w:pPr>
        <w:spacing w:line="360" w:lineRule="auto"/>
        <w:rPr>
          <w:rFonts w:ascii="Arial" w:hAnsi="Arial" w:cs="Arial"/>
          <w:i/>
          <w:sz w:val="24"/>
          <w:szCs w:val="24"/>
        </w:rPr>
      </w:pPr>
      <w:r w:rsidRPr="00D05B70">
        <w:rPr>
          <w:rFonts w:ascii="Arial" w:hAnsi="Arial" w:cs="Arial"/>
          <w:i/>
          <w:sz w:val="24"/>
          <w:szCs w:val="24"/>
        </w:rPr>
        <w:t>4.4 Lealtad y CRM.</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697810" w:rsidRPr="00D05B70" w14:paraId="6040A24F" w14:textId="77777777" w:rsidTr="001B4699">
        <w:tc>
          <w:tcPr>
            <w:tcW w:w="2836" w:type="dxa"/>
            <w:shd w:val="clear" w:color="auto" w:fill="F2F2F2"/>
          </w:tcPr>
          <w:p w14:paraId="41F24DDB" w14:textId="77777777" w:rsidR="00697810" w:rsidRPr="00D05B70" w:rsidRDefault="00697810" w:rsidP="00D05B70">
            <w:pPr>
              <w:autoSpaceDE w:val="0"/>
              <w:autoSpaceDN w:val="0"/>
              <w:adjustRightInd w:val="0"/>
              <w:spacing w:line="360" w:lineRule="auto"/>
              <w:rPr>
                <w:rFonts w:ascii="Arial" w:eastAsia="Calibri" w:hAnsi="Arial" w:cs="Arial"/>
                <w:color w:val="002060"/>
                <w:sz w:val="24"/>
                <w:szCs w:val="24"/>
                <w:lang w:val="es-ES"/>
              </w:rPr>
            </w:pPr>
            <w:r w:rsidRPr="00D05B70">
              <w:rPr>
                <w:rFonts w:ascii="Arial" w:eastAsia="Calibri" w:hAnsi="Arial" w:cs="Arial"/>
                <w:color w:val="002060"/>
                <w:sz w:val="24"/>
                <w:szCs w:val="24"/>
                <w:lang w:val="es-ES"/>
              </w:rPr>
              <w:t>Tema:</w:t>
            </w:r>
          </w:p>
        </w:tc>
        <w:tc>
          <w:tcPr>
            <w:tcW w:w="7229" w:type="dxa"/>
          </w:tcPr>
          <w:p w14:paraId="07A1AB98" w14:textId="32AEB68F" w:rsidR="00697810" w:rsidRPr="00D05B70" w:rsidRDefault="00697810" w:rsidP="00D05B70">
            <w:pPr>
              <w:autoSpaceDE w:val="0"/>
              <w:autoSpaceDN w:val="0"/>
              <w:adjustRightInd w:val="0"/>
              <w:spacing w:line="360" w:lineRule="auto"/>
              <w:jc w:val="center"/>
              <w:rPr>
                <w:rFonts w:ascii="Arial" w:eastAsia="Calibri" w:hAnsi="Arial" w:cs="Arial"/>
                <w:b/>
                <w:i/>
                <w:sz w:val="24"/>
                <w:szCs w:val="24"/>
                <w:lang w:val="es-ES"/>
              </w:rPr>
            </w:pPr>
            <w:r w:rsidRPr="00D05B70">
              <w:rPr>
                <w:rFonts w:ascii="Arial" w:hAnsi="Arial" w:cs="Arial"/>
                <w:sz w:val="24"/>
                <w:szCs w:val="24"/>
              </w:rPr>
              <w:t>Omnicanalidad y Autoservicio Digital</w:t>
            </w:r>
          </w:p>
        </w:tc>
      </w:tr>
    </w:tbl>
    <w:p w14:paraId="2A9FA477" w14:textId="77777777" w:rsidR="00697810" w:rsidRPr="00D05B70" w:rsidRDefault="00697810" w:rsidP="00D05B70">
      <w:pPr>
        <w:autoSpaceDE w:val="0"/>
        <w:autoSpaceDN w:val="0"/>
        <w:adjustRightInd w:val="0"/>
        <w:spacing w:line="360" w:lineRule="auto"/>
        <w:rPr>
          <w:rFonts w:ascii="Arial" w:eastAsia="Calibri" w:hAnsi="Arial" w:cs="Arial"/>
          <w:color w:val="002060"/>
          <w:sz w:val="24"/>
          <w:szCs w:val="24"/>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3"/>
        <w:gridCol w:w="9072"/>
      </w:tblGrid>
      <w:tr w:rsidR="00697810" w:rsidRPr="00D05B70" w14:paraId="30815365" w14:textId="77777777" w:rsidTr="001B4699">
        <w:tc>
          <w:tcPr>
            <w:tcW w:w="10065" w:type="dxa"/>
            <w:gridSpan w:val="2"/>
            <w:shd w:val="clear" w:color="auto" w:fill="F2F2F2"/>
          </w:tcPr>
          <w:p w14:paraId="4975350F" w14:textId="77777777" w:rsidR="00697810" w:rsidRPr="00D05B70" w:rsidRDefault="00697810" w:rsidP="00D05B70">
            <w:pPr>
              <w:autoSpaceDE w:val="0"/>
              <w:autoSpaceDN w:val="0"/>
              <w:adjustRightInd w:val="0"/>
              <w:spacing w:line="360" w:lineRule="auto"/>
              <w:rPr>
                <w:rFonts w:ascii="Arial" w:eastAsia="Calibri" w:hAnsi="Arial" w:cs="Arial"/>
                <w:b/>
                <w:color w:val="002060"/>
                <w:sz w:val="24"/>
                <w:szCs w:val="24"/>
                <w:lang w:val="es-ES"/>
              </w:rPr>
            </w:pPr>
            <w:r w:rsidRPr="00D05B70">
              <w:rPr>
                <w:rFonts w:ascii="Arial" w:eastAsia="Calibri" w:hAnsi="Arial" w:cs="Arial"/>
                <w:b/>
                <w:color w:val="002060"/>
                <w:sz w:val="24"/>
                <w:szCs w:val="24"/>
                <w:lang w:val="es-ES"/>
              </w:rPr>
              <w:t>Ficha de la fuente de información.</w:t>
            </w:r>
          </w:p>
        </w:tc>
      </w:tr>
      <w:tr w:rsidR="00697810" w:rsidRPr="00D05B70" w14:paraId="41B84509" w14:textId="77777777" w:rsidTr="001B4699">
        <w:trPr>
          <w:trHeight w:val="493"/>
        </w:trPr>
        <w:tc>
          <w:tcPr>
            <w:tcW w:w="993" w:type="dxa"/>
          </w:tcPr>
          <w:p w14:paraId="6C692673" w14:textId="2F0EC5D2" w:rsidR="00697810" w:rsidRPr="00D05B70" w:rsidRDefault="00697810" w:rsidP="00D05B70">
            <w:pPr>
              <w:autoSpaceDE w:val="0"/>
              <w:autoSpaceDN w:val="0"/>
              <w:adjustRightInd w:val="0"/>
              <w:spacing w:line="360" w:lineRule="auto"/>
              <w:rPr>
                <w:rFonts w:ascii="Arial" w:eastAsia="Calibri" w:hAnsi="Arial" w:cs="Arial"/>
                <w:color w:val="002060"/>
                <w:sz w:val="24"/>
                <w:szCs w:val="24"/>
                <w:lang w:val="es-ES"/>
              </w:rPr>
            </w:pPr>
            <w:r w:rsidRPr="00D05B70">
              <w:rPr>
                <w:rFonts w:ascii="Arial" w:eastAsia="Calibri" w:hAnsi="Arial" w:cs="Arial"/>
                <w:color w:val="002060"/>
                <w:sz w:val="24"/>
                <w:szCs w:val="24"/>
                <w:lang w:val="es-ES"/>
              </w:rPr>
              <w:t>No. 4</w:t>
            </w:r>
          </w:p>
        </w:tc>
        <w:tc>
          <w:tcPr>
            <w:tcW w:w="9072" w:type="dxa"/>
          </w:tcPr>
          <w:p w14:paraId="18F50509" w14:textId="77777777" w:rsidR="00697810" w:rsidRPr="00D05B70" w:rsidRDefault="00697810" w:rsidP="00D05B70">
            <w:pPr>
              <w:autoSpaceDE w:val="0"/>
              <w:autoSpaceDN w:val="0"/>
              <w:adjustRightInd w:val="0"/>
              <w:spacing w:line="360" w:lineRule="auto"/>
              <w:rPr>
                <w:rFonts w:ascii="Arial" w:eastAsia="Calibri" w:hAnsi="Arial" w:cs="Arial"/>
                <w:i/>
                <w:color w:val="002060"/>
                <w:sz w:val="24"/>
                <w:szCs w:val="24"/>
                <w:lang w:val="es-ES"/>
              </w:rPr>
            </w:pPr>
            <w:r w:rsidRPr="00D05B70">
              <w:rPr>
                <w:rFonts w:ascii="Arial" w:eastAsia="Calibri" w:hAnsi="Arial" w:cs="Arial"/>
                <w:i/>
                <w:sz w:val="24"/>
                <w:szCs w:val="24"/>
                <w:lang w:val="es-ES"/>
              </w:rPr>
              <w:t>Google académico</w:t>
            </w:r>
          </w:p>
          <w:p w14:paraId="0ACEFC78" w14:textId="77777777" w:rsidR="00697810" w:rsidRPr="00D05B70" w:rsidRDefault="00697810" w:rsidP="00D05B70">
            <w:pPr>
              <w:spacing w:line="360" w:lineRule="auto"/>
              <w:rPr>
                <w:rFonts w:ascii="Arial" w:eastAsia="Calibri" w:hAnsi="Arial" w:cs="Arial"/>
                <w:sz w:val="24"/>
                <w:szCs w:val="24"/>
                <w:lang w:val="es-ES"/>
              </w:rPr>
            </w:pPr>
            <w:r w:rsidRPr="00D05B70">
              <w:rPr>
                <w:rFonts w:ascii="Arial" w:eastAsia="Calibri" w:hAnsi="Arial" w:cs="Arial"/>
                <w:color w:val="002060"/>
                <w:sz w:val="24"/>
                <w:szCs w:val="24"/>
                <w:lang w:val="es-ES"/>
              </w:rPr>
              <w:t xml:space="preserve"> </w:t>
            </w:r>
          </w:p>
        </w:tc>
      </w:tr>
      <w:tr w:rsidR="00697810" w:rsidRPr="00D05B70" w14:paraId="4B681DEB" w14:textId="77777777" w:rsidTr="001B4699">
        <w:tc>
          <w:tcPr>
            <w:tcW w:w="10065" w:type="dxa"/>
            <w:gridSpan w:val="2"/>
          </w:tcPr>
          <w:p w14:paraId="553D4202" w14:textId="7CA125AA" w:rsidR="00697810" w:rsidRPr="00D05B70" w:rsidRDefault="00697810" w:rsidP="00D05B70">
            <w:pPr>
              <w:autoSpaceDE w:val="0"/>
              <w:autoSpaceDN w:val="0"/>
              <w:adjustRightInd w:val="0"/>
              <w:spacing w:line="360" w:lineRule="auto"/>
              <w:rPr>
                <w:rFonts w:ascii="Arial" w:hAnsi="Arial" w:cs="Arial"/>
                <w:noProof/>
                <w:sz w:val="24"/>
                <w:szCs w:val="24"/>
                <w:lang w:eastAsia="es-MX"/>
              </w:rPr>
            </w:pPr>
            <w:r w:rsidRPr="00D05B70">
              <w:rPr>
                <w:rFonts w:ascii="Arial" w:eastAsia="Calibri" w:hAnsi="Arial" w:cs="Arial"/>
                <w:color w:val="002060"/>
                <w:sz w:val="24"/>
                <w:szCs w:val="24"/>
                <w:lang w:val="es-ES"/>
              </w:rPr>
              <w:t xml:space="preserve">Palabras claves. </w:t>
            </w:r>
            <w:r w:rsidRPr="00D05B70">
              <w:rPr>
                <w:rFonts w:ascii="Arial" w:hAnsi="Arial" w:cs="Arial"/>
                <w:sz w:val="24"/>
                <w:szCs w:val="24"/>
              </w:rPr>
              <w:t>omnicanalidad, autoservicio digital, experiencia del cliente, canales digitales, retail, integración de canales.</w:t>
            </w:r>
          </w:p>
          <w:p w14:paraId="2A1A3B77" w14:textId="77777777" w:rsidR="00697810" w:rsidRPr="00D05B70" w:rsidRDefault="00697810" w:rsidP="00D05B70">
            <w:pPr>
              <w:autoSpaceDE w:val="0"/>
              <w:autoSpaceDN w:val="0"/>
              <w:adjustRightInd w:val="0"/>
              <w:spacing w:line="360" w:lineRule="auto"/>
              <w:rPr>
                <w:rFonts w:ascii="Arial" w:eastAsia="Calibri" w:hAnsi="Arial" w:cs="Arial"/>
                <w:color w:val="002060"/>
                <w:sz w:val="24"/>
                <w:szCs w:val="24"/>
                <w:lang w:val="es-ES"/>
              </w:rPr>
            </w:pPr>
          </w:p>
        </w:tc>
      </w:tr>
      <w:tr w:rsidR="00697810" w:rsidRPr="00D05B70" w14:paraId="026F4A88" w14:textId="77777777" w:rsidTr="001B4699">
        <w:trPr>
          <w:trHeight w:val="1334"/>
        </w:trPr>
        <w:tc>
          <w:tcPr>
            <w:tcW w:w="10065" w:type="dxa"/>
            <w:gridSpan w:val="2"/>
          </w:tcPr>
          <w:p w14:paraId="7450AA77" w14:textId="77777777" w:rsidR="00697810" w:rsidRPr="00D05B70" w:rsidRDefault="00697810" w:rsidP="00D05B70">
            <w:pPr>
              <w:autoSpaceDE w:val="0"/>
              <w:autoSpaceDN w:val="0"/>
              <w:adjustRightInd w:val="0"/>
              <w:spacing w:line="360" w:lineRule="auto"/>
              <w:rPr>
                <w:rFonts w:ascii="Arial" w:eastAsia="Calibri" w:hAnsi="Arial" w:cs="Arial"/>
                <w:color w:val="002060"/>
                <w:sz w:val="24"/>
                <w:szCs w:val="24"/>
              </w:rPr>
            </w:pPr>
            <w:r w:rsidRPr="00D05B70">
              <w:rPr>
                <w:rFonts w:ascii="Arial" w:eastAsia="Calibri" w:hAnsi="Arial" w:cs="Arial"/>
                <w:color w:val="002060"/>
                <w:sz w:val="24"/>
                <w:szCs w:val="24"/>
              </w:rPr>
              <w:t>Referencia APA.</w:t>
            </w:r>
          </w:p>
          <w:p w14:paraId="40F1419F" w14:textId="2B66A6BA" w:rsidR="00697810" w:rsidRPr="00D05B70" w:rsidRDefault="00697810" w:rsidP="00D05B70">
            <w:pPr>
              <w:pStyle w:val="NormalWeb"/>
              <w:spacing w:line="360" w:lineRule="auto"/>
              <w:rPr>
                <w:rFonts w:ascii="Arial" w:hAnsi="Arial" w:cs="Arial"/>
              </w:rPr>
            </w:pPr>
            <w:r w:rsidRPr="00D05B70">
              <w:rPr>
                <w:rFonts w:ascii="Arial" w:hAnsi="Arial" w:cs="Arial"/>
              </w:rPr>
              <w:t xml:space="preserve">Verhoef, P. C., Kannan, P. K., &amp; Inman, J. J. (2015). </w:t>
            </w:r>
            <w:r w:rsidRPr="00D05B70">
              <w:rPr>
                <w:rStyle w:val="Textoennegrita"/>
                <w:rFonts w:ascii="Arial" w:hAnsi="Arial" w:cs="Arial"/>
                <w:lang w:val="en-US"/>
              </w:rPr>
              <w:t>From multi-channel retailing to omni-channel retailing: Introduction to the special issue on multi-channel retailing</w:t>
            </w:r>
            <w:r w:rsidRPr="00D05B70">
              <w:rPr>
                <w:rFonts w:ascii="Arial" w:hAnsi="Arial" w:cs="Arial"/>
                <w:lang w:val="en-US"/>
              </w:rPr>
              <w:t xml:space="preserve">. </w:t>
            </w:r>
            <w:r w:rsidRPr="00D05B70">
              <w:rPr>
                <w:rStyle w:val="nfasis"/>
                <w:rFonts w:ascii="Arial" w:hAnsi="Arial" w:cs="Arial"/>
              </w:rPr>
              <w:t>Journal of Retailing</w:t>
            </w:r>
            <w:r w:rsidRPr="00D05B70">
              <w:rPr>
                <w:rFonts w:ascii="Arial" w:hAnsi="Arial" w:cs="Arial"/>
              </w:rPr>
              <w:t>, 91(2), 174–181.</w:t>
            </w:r>
          </w:p>
        </w:tc>
      </w:tr>
      <w:tr w:rsidR="00697810" w:rsidRPr="00D05B70" w14:paraId="25E967E7" w14:textId="77777777" w:rsidTr="001B4699">
        <w:tc>
          <w:tcPr>
            <w:tcW w:w="10065" w:type="dxa"/>
            <w:gridSpan w:val="2"/>
          </w:tcPr>
          <w:p w14:paraId="028AE7C0" w14:textId="77777777" w:rsidR="00697810" w:rsidRPr="00D05B70" w:rsidRDefault="00697810" w:rsidP="00D05B70">
            <w:pPr>
              <w:autoSpaceDE w:val="0"/>
              <w:autoSpaceDN w:val="0"/>
              <w:adjustRightInd w:val="0"/>
              <w:spacing w:line="360" w:lineRule="auto"/>
              <w:jc w:val="center"/>
              <w:rPr>
                <w:rFonts w:ascii="Arial" w:eastAsia="Calibri" w:hAnsi="Arial" w:cs="Arial"/>
                <w:color w:val="002060"/>
                <w:sz w:val="24"/>
                <w:szCs w:val="24"/>
                <w:lang w:val="es-ES"/>
              </w:rPr>
            </w:pPr>
            <w:r w:rsidRPr="00D05B70">
              <w:rPr>
                <w:rFonts w:ascii="Arial" w:eastAsia="Calibri" w:hAnsi="Arial" w:cs="Arial"/>
                <w:color w:val="002060"/>
                <w:sz w:val="24"/>
                <w:szCs w:val="24"/>
                <w:lang w:val="es-ES"/>
              </w:rPr>
              <w:t xml:space="preserve">RESUMEN </w:t>
            </w:r>
          </w:p>
        </w:tc>
      </w:tr>
      <w:tr w:rsidR="00697810" w:rsidRPr="00D05B70" w14:paraId="71459F58" w14:textId="77777777" w:rsidTr="001B4699">
        <w:tc>
          <w:tcPr>
            <w:tcW w:w="10065" w:type="dxa"/>
            <w:gridSpan w:val="2"/>
          </w:tcPr>
          <w:p w14:paraId="0643C768" w14:textId="163E58B4" w:rsidR="00697810" w:rsidRPr="00D05B70" w:rsidRDefault="00697810" w:rsidP="00D05B70">
            <w:pPr>
              <w:autoSpaceDE w:val="0"/>
              <w:autoSpaceDN w:val="0"/>
              <w:adjustRightInd w:val="0"/>
              <w:spacing w:line="360" w:lineRule="auto"/>
              <w:jc w:val="both"/>
              <w:rPr>
                <w:rFonts w:ascii="Arial" w:eastAsia="Calibri" w:hAnsi="Arial" w:cs="Arial"/>
                <w:color w:val="002060"/>
                <w:sz w:val="24"/>
                <w:szCs w:val="24"/>
                <w:lang w:val="es-ES"/>
              </w:rPr>
            </w:pPr>
            <w:r w:rsidRPr="00D05B70">
              <w:rPr>
                <w:rFonts w:ascii="Arial" w:hAnsi="Arial" w:cs="Arial"/>
                <w:sz w:val="24"/>
                <w:szCs w:val="24"/>
              </w:rPr>
              <w:t xml:space="preserve">El artículo analiza la transición del multicanal al enfoque omnicanal, destacando la necesidad de integrar todos los puntos de contacto físicos y digitales para ofrecer una experiencia continua, coherente y personalizada al cliente. Los autores explican que la omnicanalidad </w:t>
            </w:r>
            <w:r w:rsidRPr="00D05B70">
              <w:rPr>
                <w:rFonts w:ascii="Arial" w:hAnsi="Arial" w:cs="Arial"/>
                <w:sz w:val="24"/>
                <w:szCs w:val="24"/>
              </w:rPr>
              <w:lastRenderedPageBreak/>
              <w:t>permite que el usuario se desplace entre canales sin interrupciones, mientras que el autoservicio digital —como aplicaciones móviles, kioscos interactivos y plataformas web— facilita que el cliente gestione procesos por sí mismo, reduciendo tiempos de espera y mejorando la percepción del servicio. El texto señala que las empresas que adoptan estrategias omnicanal fortalecen la lealtad, aumentan las ventas y obtienen datos valiosos para mejorar la personalización.</w:t>
            </w:r>
          </w:p>
        </w:tc>
      </w:tr>
    </w:tbl>
    <w:p w14:paraId="16FEE683" w14:textId="77777777" w:rsidR="00697810" w:rsidRPr="00D05B70" w:rsidRDefault="00697810" w:rsidP="00D05B70">
      <w:pPr>
        <w:autoSpaceDE w:val="0"/>
        <w:autoSpaceDN w:val="0"/>
        <w:adjustRightInd w:val="0"/>
        <w:spacing w:line="360" w:lineRule="auto"/>
        <w:rPr>
          <w:rFonts w:ascii="Arial" w:eastAsia="Calibri" w:hAnsi="Arial" w:cs="Arial"/>
          <w:color w:val="002060"/>
          <w:sz w:val="24"/>
          <w:szCs w:val="24"/>
          <w:lang w:val="es-ES"/>
        </w:rPr>
      </w:pPr>
    </w:p>
    <w:tbl>
      <w:tblPr>
        <w:tblW w:w="9923"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697810" w:rsidRPr="00D05B70" w14:paraId="23923CFA" w14:textId="77777777" w:rsidTr="001B4699">
        <w:tc>
          <w:tcPr>
            <w:tcW w:w="9923" w:type="dxa"/>
            <w:shd w:val="clear" w:color="auto" w:fill="D9D9D9"/>
          </w:tcPr>
          <w:p w14:paraId="1AE6CEA4" w14:textId="4EACBA22" w:rsidR="00697810" w:rsidRPr="00D05B70" w:rsidRDefault="00697810" w:rsidP="00D05B70">
            <w:pPr>
              <w:autoSpaceDE w:val="0"/>
              <w:autoSpaceDN w:val="0"/>
              <w:adjustRightInd w:val="0"/>
              <w:spacing w:line="360" w:lineRule="auto"/>
              <w:jc w:val="center"/>
              <w:rPr>
                <w:rFonts w:ascii="Arial" w:eastAsia="Calibri" w:hAnsi="Arial" w:cs="Arial"/>
                <w:color w:val="002060"/>
                <w:sz w:val="24"/>
                <w:szCs w:val="24"/>
                <w:lang w:val="es-ES"/>
              </w:rPr>
            </w:pPr>
            <w:r w:rsidRPr="00D05B70">
              <w:rPr>
                <w:rFonts w:ascii="Arial" w:eastAsia="Calibri" w:hAnsi="Arial" w:cs="Arial"/>
                <w:color w:val="002060"/>
                <w:sz w:val="24"/>
                <w:szCs w:val="24"/>
                <w:lang w:val="es-ES"/>
              </w:rPr>
              <w:t xml:space="preserve">Texto </w:t>
            </w:r>
          </w:p>
        </w:tc>
      </w:tr>
      <w:tr w:rsidR="00697810" w:rsidRPr="00D05B70" w14:paraId="60A6791C" w14:textId="77777777" w:rsidTr="001B4699">
        <w:tc>
          <w:tcPr>
            <w:tcW w:w="9923" w:type="dxa"/>
          </w:tcPr>
          <w:p w14:paraId="6EACB01F" w14:textId="77777777" w:rsidR="00697810" w:rsidRPr="00D05B70" w:rsidRDefault="00697810" w:rsidP="00D05B70">
            <w:pPr>
              <w:pStyle w:val="NormalWeb"/>
              <w:spacing w:line="360" w:lineRule="auto"/>
              <w:rPr>
                <w:rFonts w:ascii="Arial" w:hAnsi="Arial" w:cs="Arial"/>
              </w:rPr>
            </w:pPr>
            <w:r w:rsidRPr="00D05B70">
              <w:rPr>
                <w:rFonts w:ascii="Arial" w:hAnsi="Arial" w:cs="Arial"/>
              </w:rPr>
              <w:t>  “El enfoque omnicanal requiere una completa integración entre los canales físicos y digitales para asegurar una experiencia fluida en todos los puntos de contacto” (Verhoef et al., 2015, p. 175).</w:t>
            </w:r>
          </w:p>
          <w:p w14:paraId="71ED76BE" w14:textId="77777777" w:rsidR="00697810" w:rsidRPr="00D05B70" w:rsidRDefault="00697810" w:rsidP="00D05B70">
            <w:pPr>
              <w:pStyle w:val="NormalWeb"/>
              <w:spacing w:line="360" w:lineRule="auto"/>
              <w:rPr>
                <w:rFonts w:ascii="Arial" w:hAnsi="Arial" w:cs="Arial"/>
              </w:rPr>
            </w:pPr>
            <w:r w:rsidRPr="00D05B70">
              <w:rPr>
                <w:rFonts w:ascii="Arial" w:hAnsi="Arial" w:cs="Arial"/>
              </w:rPr>
              <w:t>  “Las tecnologías de autoservicio digital permiten al cliente asumir un rol más activo en el proceso de servicio, reduciendo costos y mejorando la eficiencia operacional” (p. 178).</w:t>
            </w:r>
          </w:p>
          <w:p w14:paraId="74B50C51" w14:textId="536D9520" w:rsidR="00697810" w:rsidRPr="00D05B70" w:rsidRDefault="00697810" w:rsidP="00D05B70">
            <w:pPr>
              <w:pStyle w:val="NormalWeb"/>
              <w:spacing w:line="360" w:lineRule="auto"/>
              <w:rPr>
                <w:rFonts w:ascii="Arial" w:hAnsi="Arial" w:cs="Arial"/>
              </w:rPr>
            </w:pPr>
            <w:r w:rsidRPr="00D05B70">
              <w:rPr>
                <w:rFonts w:ascii="Arial" w:hAnsi="Arial" w:cs="Arial"/>
              </w:rPr>
              <w:t>  “El comportamiento omnicanal se ha convertido en un indicador clave de lealtad y compromiso del cliente en entornos minoristas” (p. 181).</w:t>
            </w:r>
          </w:p>
        </w:tc>
      </w:tr>
      <w:tr w:rsidR="00697810" w:rsidRPr="00D05B70" w14:paraId="2198D6C8" w14:textId="77777777" w:rsidTr="001B4699">
        <w:tc>
          <w:tcPr>
            <w:tcW w:w="9923" w:type="dxa"/>
            <w:shd w:val="clear" w:color="auto" w:fill="D9D9D9"/>
          </w:tcPr>
          <w:p w14:paraId="6BE74040" w14:textId="77777777" w:rsidR="00697810" w:rsidRPr="00D05B70" w:rsidRDefault="00697810" w:rsidP="00D05B70">
            <w:pPr>
              <w:autoSpaceDE w:val="0"/>
              <w:autoSpaceDN w:val="0"/>
              <w:adjustRightInd w:val="0"/>
              <w:spacing w:line="360" w:lineRule="auto"/>
              <w:jc w:val="center"/>
              <w:rPr>
                <w:rFonts w:ascii="Arial" w:eastAsia="Calibri" w:hAnsi="Arial" w:cs="Arial"/>
                <w:b/>
                <w:color w:val="002060"/>
                <w:sz w:val="24"/>
                <w:szCs w:val="24"/>
                <w:lang w:val="es-ES"/>
              </w:rPr>
            </w:pPr>
            <w:r w:rsidRPr="00D05B70">
              <w:rPr>
                <w:rFonts w:ascii="Arial" w:eastAsia="Calibri" w:hAnsi="Arial" w:cs="Arial"/>
                <w:b/>
                <w:color w:val="002060"/>
                <w:sz w:val="24"/>
                <w:szCs w:val="24"/>
                <w:lang w:val="es-ES"/>
              </w:rPr>
              <w:t>Prontuario</w:t>
            </w:r>
          </w:p>
        </w:tc>
      </w:tr>
      <w:tr w:rsidR="00697810" w:rsidRPr="00D05B70" w14:paraId="73BE3300" w14:textId="77777777" w:rsidTr="00D05B70">
        <w:trPr>
          <w:trHeight w:val="3673"/>
        </w:trPr>
        <w:tc>
          <w:tcPr>
            <w:tcW w:w="9923" w:type="dxa"/>
          </w:tcPr>
          <w:p w14:paraId="29F612F9" w14:textId="5A6D39C1" w:rsidR="00697810" w:rsidRPr="00D05B70" w:rsidRDefault="00697810" w:rsidP="00D05B70">
            <w:pPr>
              <w:autoSpaceDE w:val="0"/>
              <w:autoSpaceDN w:val="0"/>
              <w:adjustRightInd w:val="0"/>
              <w:spacing w:line="360" w:lineRule="auto"/>
              <w:rPr>
                <w:rFonts w:ascii="Arial" w:eastAsia="Calibri" w:hAnsi="Arial" w:cs="Arial"/>
                <w:sz w:val="24"/>
                <w:szCs w:val="24"/>
                <w:lang w:val="es-ES"/>
              </w:rPr>
            </w:pPr>
            <w:r w:rsidRPr="00D05B70">
              <w:rPr>
                <w:rFonts w:ascii="Arial" w:hAnsi="Arial" w:cs="Arial"/>
                <w:sz w:val="24"/>
                <w:szCs w:val="24"/>
              </w:rPr>
              <w:lastRenderedPageBreak/>
              <w:t>El texto explica que la omnicanalidad consiste en conectar todos los canales de una empresa para que el cliente pueda moverse entre ellos sin interrupciones. También señala que las herramientas de autoservicio digital permiten que los usuarios realicen procesos por su cuenta, mejorando la eficiencia y reduciendo los costos para la empresa. Además, destaca que estas estrategias fortalecen la lealtad del cliente y crean experiencias más completas y personalizadas.</w:t>
            </w:r>
          </w:p>
          <w:p w14:paraId="43A388A6" w14:textId="77777777" w:rsidR="00697810" w:rsidRPr="00D05B70" w:rsidRDefault="00697810" w:rsidP="00D05B70">
            <w:pPr>
              <w:autoSpaceDE w:val="0"/>
              <w:autoSpaceDN w:val="0"/>
              <w:adjustRightInd w:val="0"/>
              <w:spacing w:line="360" w:lineRule="auto"/>
              <w:rPr>
                <w:rFonts w:ascii="Arial" w:eastAsia="Calibri" w:hAnsi="Arial" w:cs="Arial"/>
                <w:color w:val="002060"/>
                <w:sz w:val="24"/>
                <w:szCs w:val="24"/>
                <w:lang w:val="es-ES"/>
              </w:rPr>
            </w:pPr>
          </w:p>
        </w:tc>
      </w:tr>
    </w:tbl>
    <w:p w14:paraId="62B77A03" w14:textId="77777777" w:rsidR="00697810" w:rsidRPr="00D05B70" w:rsidRDefault="00697810" w:rsidP="00D05B70">
      <w:pPr>
        <w:spacing w:line="360" w:lineRule="auto"/>
        <w:jc w:val="both"/>
        <w:rPr>
          <w:rFonts w:ascii="Arial" w:hAnsi="Arial" w:cs="Arial"/>
          <w:b/>
          <w:bCs/>
          <w:sz w:val="24"/>
          <w:szCs w:val="24"/>
        </w:rPr>
      </w:pPr>
    </w:p>
    <w:p w14:paraId="748D7034" w14:textId="6CF42E54" w:rsidR="003E7653" w:rsidRPr="00D05B70" w:rsidRDefault="00697810" w:rsidP="00D05B70">
      <w:pPr>
        <w:pStyle w:val="Encabezado"/>
        <w:tabs>
          <w:tab w:val="right" w:pos="8080"/>
          <w:tab w:val="left" w:pos="8222"/>
        </w:tabs>
        <w:spacing w:line="360" w:lineRule="auto"/>
        <w:ind w:right="855"/>
        <w:rPr>
          <w:rFonts w:ascii="Arial" w:hAnsi="Arial" w:cs="Arial"/>
          <w:i/>
          <w:sz w:val="24"/>
          <w:szCs w:val="24"/>
        </w:rPr>
      </w:pPr>
      <w:r w:rsidRPr="00D05B70">
        <w:rPr>
          <w:rFonts w:ascii="Arial" w:hAnsi="Arial" w:cs="Arial"/>
          <w:i/>
          <w:sz w:val="24"/>
          <w:szCs w:val="24"/>
        </w:rPr>
        <w:t>Formato elaborado por el Dr. Agustín Manig Valenzuela y utilizado sólo para fines acad</w:t>
      </w:r>
      <w:r w:rsidR="008B7EE7" w:rsidRPr="00D05B70">
        <w:rPr>
          <w:rFonts w:ascii="Arial" w:hAnsi="Arial" w:cs="Arial"/>
          <w:i/>
          <w:sz w:val="24"/>
          <w:szCs w:val="24"/>
        </w:rPr>
        <w:t>émicos</w:t>
      </w:r>
    </w:p>
    <w:p w14:paraId="71166F40" w14:textId="77777777" w:rsidR="003E7653" w:rsidRPr="00D05B70" w:rsidRDefault="003E7653" w:rsidP="00D05B70">
      <w:pPr>
        <w:spacing w:line="360" w:lineRule="auto"/>
        <w:jc w:val="center"/>
        <w:rPr>
          <w:rFonts w:ascii="Arial" w:hAnsi="Arial" w:cs="Arial"/>
          <w:b/>
          <w:bCs/>
          <w:sz w:val="24"/>
          <w:szCs w:val="24"/>
        </w:rPr>
      </w:pPr>
    </w:p>
    <w:p w14:paraId="04B6EDE7" w14:textId="77777777" w:rsidR="003E7653" w:rsidRDefault="003E7653" w:rsidP="00D05B70">
      <w:pPr>
        <w:spacing w:line="360" w:lineRule="auto"/>
        <w:jc w:val="center"/>
        <w:rPr>
          <w:rFonts w:ascii="Arial" w:hAnsi="Arial" w:cs="Arial"/>
          <w:b/>
          <w:bCs/>
          <w:sz w:val="24"/>
          <w:szCs w:val="24"/>
        </w:rPr>
      </w:pPr>
    </w:p>
    <w:p w14:paraId="2DFEC03F" w14:textId="77777777" w:rsidR="00D05B70" w:rsidRDefault="00D05B70" w:rsidP="00D05B70">
      <w:pPr>
        <w:spacing w:line="360" w:lineRule="auto"/>
        <w:jc w:val="center"/>
        <w:rPr>
          <w:rFonts w:ascii="Arial" w:hAnsi="Arial" w:cs="Arial"/>
          <w:b/>
          <w:bCs/>
          <w:sz w:val="24"/>
          <w:szCs w:val="24"/>
        </w:rPr>
      </w:pPr>
    </w:p>
    <w:p w14:paraId="2121FFA3" w14:textId="77777777" w:rsidR="00D05B70" w:rsidRDefault="00D05B70" w:rsidP="00D05B70">
      <w:pPr>
        <w:spacing w:line="360" w:lineRule="auto"/>
        <w:jc w:val="center"/>
        <w:rPr>
          <w:rFonts w:ascii="Arial" w:hAnsi="Arial" w:cs="Arial"/>
          <w:b/>
          <w:bCs/>
          <w:sz w:val="24"/>
          <w:szCs w:val="24"/>
        </w:rPr>
      </w:pPr>
    </w:p>
    <w:p w14:paraId="3058E662" w14:textId="77777777" w:rsidR="00D05B70" w:rsidRDefault="00D05B70" w:rsidP="00D05B70">
      <w:pPr>
        <w:spacing w:line="360" w:lineRule="auto"/>
        <w:jc w:val="center"/>
        <w:rPr>
          <w:rFonts w:ascii="Arial" w:hAnsi="Arial" w:cs="Arial"/>
          <w:b/>
          <w:bCs/>
          <w:sz w:val="24"/>
          <w:szCs w:val="24"/>
        </w:rPr>
      </w:pPr>
    </w:p>
    <w:p w14:paraId="5D8B1318" w14:textId="77777777" w:rsidR="00D05B70" w:rsidRDefault="00D05B70" w:rsidP="00D05B70">
      <w:pPr>
        <w:spacing w:line="360" w:lineRule="auto"/>
        <w:jc w:val="center"/>
        <w:rPr>
          <w:rFonts w:ascii="Arial" w:hAnsi="Arial" w:cs="Arial"/>
          <w:b/>
          <w:bCs/>
          <w:sz w:val="24"/>
          <w:szCs w:val="24"/>
        </w:rPr>
      </w:pPr>
    </w:p>
    <w:p w14:paraId="3B686339" w14:textId="77777777" w:rsidR="00D05B70" w:rsidRDefault="00D05B70" w:rsidP="00D05B70">
      <w:pPr>
        <w:spacing w:line="360" w:lineRule="auto"/>
        <w:jc w:val="center"/>
        <w:rPr>
          <w:rFonts w:ascii="Arial" w:hAnsi="Arial" w:cs="Arial"/>
          <w:b/>
          <w:bCs/>
          <w:sz w:val="24"/>
          <w:szCs w:val="24"/>
        </w:rPr>
      </w:pPr>
    </w:p>
    <w:p w14:paraId="33801D8D" w14:textId="77777777" w:rsidR="00D05B70" w:rsidRDefault="00D05B70" w:rsidP="00D05B70">
      <w:pPr>
        <w:spacing w:line="360" w:lineRule="auto"/>
        <w:jc w:val="center"/>
        <w:rPr>
          <w:rFonts w:ascii="Arial" w:hAnsi="Arial" w:cs="Arial"/>
          <w:b/>
          <w:bCs/>
          <w:sz w:val="24"/>
          <w:szCs w:val="24"/>
        </w:rPr>
      </w:pPr>
    </w:p>
    <w:p w14:paraId="54FA7C0B" w14:textId="77777777" w:rsidR="00D05B70" w:rsidRDefault="00D05B70" w:rsidP="00D05B70">
      <w:pPr>
        <w:spacing w:line="360" w:lineRule="auto"/>
        <w:jc w:val="center"/>
        <w:rPr>
          <w:rFonts w:ascii="Arial" w:hAnsi="Arial" w:cs="Arial"/>
          <w:b/>
          <w:bCs/>
          <w:sz w:val="24"/>
          <w:szCs w:val="24"/>
        </w:rPr>
      </w:pPr>
    </w:p>
    <w:p w14:paraId="28759953" w14:textId="77777777" w:rsidR="00D05B70" w:rsidRPr="00D05B70" w:rsidRDefault="00D05B70" w:rsidP="00D05B70">
      <w:pPr>
        <w:spacing w:line="360" w:lineRule="auto"/>
        <w:jc w:val="center"/>
        <w:rPr>
          <w:rFonts w:ascii="Arial" w:hAnsi="Arial" w:cs="Arial"/>
          <w:b/>
          <w:bCs/>
          <w:sz w:val="24"/>
          <w:szCs w:val="24"/>
        </w:rPr>
      </w:pPr>
    </w:p>
    <w:p w14:paraId="49DFB3B3" w14:textId="0DAC24C8" w:rsidR="006D4AA1" w:rsidRPr="00D05B70" w:rsidRDefault="006D4AA1" w:rsidP="00D05B70">
      <w:pPr>
        <w:pStyle w:val="Ttulo1"/>
        <w:spacing w:line="360" w:lineRule="auto"/>
        <w:jc w:val="center"/>
        <w:rPr>
          <w:rFonts w:ascii="Arial" w:hAnsi="Arial" w:cs="Arial"/>
          <w:b/>
          <w:sz w:val="28"/>
          <w:szCs w:val="24"/>
        </w:rPr>
      </w:pPr>
      <w:bookmarkStart w:id="7" w:name="_Toc214138126"/>
      <w:r w:rsidRPr="00D05B70">
        <w:rPr>
          <w:rFonts w:ascii="Arial" w:hAnsi="Arial" w:cs="Arial"/>
          <w:b/>
          <w:sz w:val="28"/>
          <w:szCs w:val="24"/>
        </w:rPr>
        <w:lastRenderedPageBreak/>
        <w:t>Conclusión</w:t>
      </w:r>
      <w:bookmarkStart w:id="8" w:name="_GoBack"/>
      <w:bookmarkEnd w:id="7"/>
      <w:bookmarkEnd w:id="8"/>
    </w:p>
    <w:p w14:paraId="200BBF3C" w14:textId="7DB42B92" w:rsidR="006D4AA1" w:rsidRPr="00D05B70" w:rsidRDefault="006D4AA1" w:rsidP="00D05B70">
      <w:pPr>
        <w:pStyle w:val="Ttulo1"/>
        <w:spacing w:line="360" w:lineRule="auto"/>
        <w:rPr>
          <w:rFonts w:ascii="Arial" w:hAnsi="Arial" w:cs="Arial"/>
          <w:sz w:val="24"/>
          <w:szCs w:val="24"/>
        </w:rPr>
      </w:pPr>
    </w:p>
    <w:p w14:paraId="79F29FE5" w14:textId="3037B5BB" w:rsidR="006D4AA1" w:rsidRPr="00D05B70" w:rsidRDefault="00697810" w:rsidP="00D05B70">
      <w:pPr>
        <w:spacing w:line="360" w:lineRule="auto"/>
        <w:jc w:val="both"/>
        <w:rPr>
          <w:rFonts w:ascii="Arial" w:hAnsi="Arial" w:cs="Arial"/>
          <w:b/>
          <w:bCs/>
          <w:sz w:val="24"/>
          <w:szCs w:val="24"/>
        </w:rPr>
      </w:pPr>
      <w:r w:rsidRPr="00D05B70">
        <w:rPr>
          <w:rFonts w:ascii="Arial" w:hAnsi="Arial" w:cs="Arial"/>
          <w:sz w:val="24"/>
          <w:szCs w:val="24"/>
        </w:rPr>
        <w:t xml:space="preserve">El proceso de elaboración de los </w:t>
      </w:r>
      <w:r w:rsidRPr="00D05B70">
        <w:rPr>
          <w:rStyle w:val="nfasis"/>
          <w:rFonts w:ascii="Arial" w:hAnsi="Arial" w:cs="Arial"/>
          <w:sz w:val="24"/>
          <w:szCs w:val="24"/>
        </w:rPr>
        <w:t>Apuntes de Mercadotecnia de Servicios</w:t>
      </w:r>
      <w:r w:rsidRPr="00D05B70">
        <w:rPr>
          <w:rFonts w:ascii="Arial" w:hAnsi="Arial" w:cs="Arial"/>
          <w:sz w:val="24"/>
          <w:szCs w:val="24"/>
        </w:rPr>
        <w:t xml:space="preserve"> permitió integrar de manera clara los conceptos fundamentales revisados a lo largo del semestre y conectarlos con su aplicación práctica. El análisis de las cuatro unidades demostró que la gestión de servicios requiere una visión integral que considere tanto los elementos estratégicos —como las 7Ps, la segmentación o los modelos de calidad— como los factores que influyen directamente en la experiencia del cliente, tales como los procesos, la recuperación del servicio y la omnicanalidad. Asimismo, el desarrollo del proyecto evidenció la importancia de enfrentar desafíos reales, adaptarse a las condiciones del entorno y emplear diversas fuentes de información para fortalecer los resultados. En conjunto, esta experiencia no solo consolidó el aprendizaje teórico, sino que también fortaleció competencias esenciales para nuestra formación como mercadólogos, orientadas al análisis, la planificación y la mejora continua de los servicios.</w:t>
      </w:r>
    </w:p>
    <w:p w14:paraId="0111B9FF" w14:textId="20190A6F" w:rsidR="006D4AA1" w:rsidRPr="00D05B70" w:rsidRDefault="006D4AA1" w:rsidP="00D05B70">
      <w:pPr>
        <w:spacing w:line="360" w:lineRule="auto"/>
        <w:jc w:val="both"/>
        <w:rPr>
          <w:rFonts w:ascii="Arial" w:hAnsi="Arial" w:cs="Arial"/>
          <w:b/>
          <w:bCs/>
          <w:sz w:val="24"/>
          <w:szCs w:val="24"/>
        </w:rPr>
      </w:pPr>
    </w:p>
    <w:p w14:paraId="7BB210E6" w14:textId="793F4552" w:rsidR="006D4AA1" w:rsidRPr="00D05B70" w:rsidRDefault="006D4AA1" w:rsidP="00D05B70">
      <w:pPr>
        <w:spacing w:line="360" w:lineRule="auto"/>
        <w:jc w:val="center"/>
        <w:rPr>
          <w:rFonts w:ascii="Arial" w:hAnsi="Arial" w:cs="Arial"/>
          <w:b/>
          <w:bCs/>
          <w:sz w:val="24"/>
          <w:szCs w:val="24"/>
        </w:rPr>
      </w:pPr>
    </w:p>
    <w:p w14:paraId="0B534378" w14:textId="144FFCA2" w:rsidR="006D4AA1" w:rsidRPr="00D05B70" w:rsidRDefault="006D4AA1" w:rsidP="00D05B70">
      <w:pPr>
        <w:spacing w:line="360" w:lineRule="auto"/>
        <w:jc w:val="center"/>
        <w:rPr>
          <w:rFonts w:ascii="Arial" w:hAnsi="Arial" w:cs="Arial"/>
          <w:b/>
          <w:bCs/>
          <w:sz w:val="24"/>
          <w:szCs w:val="24"/>
        </w:rPr>
      </w:pPr>
    </w:p>
    <w:p w14:paraId="5B9B8281" w14:textId="77EA7CC8" w:rsidR="006D4AA1" w:rsidRPr="00D05B70" w:rsidRDefault="006D4AA1" w:rsidP="00D05B70">
      <w:pPr>
        <w:spacing w:line="360" w:lineRule="auto"/>
        <w:jc w:val="center"/>
        <w:rPr>
          <w:rFonts w:ascii="Arial" w:hAnsi="Arial" w:cs="Arial"/>
          <w:b/>
          <w:bCs/>
          <w:sz w:val="24"/>
          <w:szCs w:val="24"/>
        </w:rPr>
      </w:pPr>
    </w:p>
    <w:p w14:paraId="0DD8D4B0" w14:textId="52640BA6" w:rsidR="006D4AA1" w:rsidRPr="00D05B70" w:rsidRDefault="006D4AA1" w:rsidP="00D05B70">
      <w:pPr>
        <w:spacing w:line="360" w:lineRule="auto"/>
        <w:rPr>
          <w:rFonts w:ascii="Arial" w:hAnsi="Arial" w:cs="Arial"/>
          <w:b/>
          <w:bCs/>
          <w:sz w:val="24"/>
          <w:szCs w:val="24"/>
        </w:rPr>
      </w:pPr>
    </w:p>
    <w:p w14:paraId="631FC37B" w14:textId="549B4044" w:rsidR="006D4AA1" w:rsidRDefault="006D4AA1" w:rsidP="00616514">
      <w:pPr>
        <w:jc w:val="center"/>
        <w:rPr>
          <w:rFonts w:ascii="Arial" w:hAnsi="Arial" w:cs="Arial"/>
          <w:b/>
          <w:bCs/>
          <w:sz w:val="28"/>
          <w:szCs w:val="28"/>
        </w:rPr>
      </w:pPr>
    </w:p>
    <w:p w14:paraId="62FD50D6" w14:textId="2B12FD4E" w:rsidR="006D4AA1" w:rsidRDefault="006D4AA1" w:rsidP="00616514">
      <w:pPr>
        <w:jc w:val="center"/>
        <w:rPr>
          <w:rFonts w:ascii="Arial" w:hAnsi="Arial" w:cs="Arial"/>
          <w:b/>
          <w:bCs/>
          <w:sz w:val="28"/>
          <w:szCs w:val="28"/>
        </w:rPr>
      </w:pPr>
    </w:p>
    <w:p w14:paraId="128C71D4" w14:textId="4ED6C838" w:rsidR="006D4AA1" w:rsidRPr="00D05B70" w:rsidRDefault="006D4AA1" w:rsidP="008B7EE7">
      <w:pPr>
        <w:pStyle w:val="Ttulo1"/>
        <w:jc w:val="center"/>
        <w:rPr>
          <w:rFonts w:ascii="Arial" w:hAnsi="Arial" w:cs="Arial"/>
          <w:sz w:val="24"/>
          <w:szCs w:val="24"/>
        </w:rPr>
      </w:pPr>
      <w:bookmarkStart w:id="9" w:name="_Toc214138127"/>
      <w:r w:rsidRPr="00D05B70">
        <w:rPr>
          <w:rFonts w:ascii="Arial" w:hAnsi="Arial" w:cs="Arial"/>
          <w:sz w:val="24"/>
          <w:szCs w:val="24"/>
        </w:rPr>
        <w:lastRenderedPageBreak/>
        <w:t>Referencias</w:t>
      </w:r>
      <w:bookmarkEnd w:id="9"/>
    </w:p>
    <w:p w14:paraId="75B33401" w14:textId="77777777" w:rsidR="00697810" w:rsidRPr="00D05B70" w:rsidRDefault="00697810" w:rsidP="00D05B70">
      <w:pPr>
        <w:pStyle w:val="NormalWeb"/>
        <w:spacing w:line="480" w:lineRule="auto"/>
        <w:ind w:left="709" w:hanging="709"/>
        <w:rPr>
          <w:rFonts w:ascii="Arial" w:hAnsi="Arial" w:cs="Arial"/>
          <w:lang w:val="en-US"/>
        </w:rPr>
      </w:pPr>
      <w:r w:rsidRPr="00D05B70">
        <w:rPr>
          <w:rStyle w:val="Textoennegrita"/>
          <w:rFonts w:ascii="Arial" w:hAnsi="Arial" w:cs="Arial"/>
        </w:rPr>
        <w:t>Lovelock, C., &amp; Wirtz, J. (2011).</w:t>
      </w:r>
      <w:r w:rsidRPr="00D05B70">
        <w:rPr>
          <w:rFonts w:ascii="Arial" w:hAnsi="Arial" w:cs="Arial"/>
        </w:rPr>
        <w:t xml:space="preserve"> </w:t>
      </w:r>
      <w:r w:rsidRPr="00D05B70">
        <w:rPr>
          <w:rStyle w:val="nfasis"/>
          <w:rFonts w:ascii="Arial" w:hAnsi="Arial" w:cs="Arial"/>
        </w:rPr>
        <w:t>Marketing de servicios: Personal, tecnología y estrategia</w:t>
      </w:r>
      <w:r w:rsidRPr="00D05B70">
        <w:rPr>
          <w:rFonts w:ascii="Arial" w:hAnsi="Arial" w:cs="Arial"/>
        </w:rPr>
        <w:t xml:space="preserve"> (7.ª ed.). </w:t>
      </w:r>
      <w:r w:rsidRPr="00D05B70">
        <w:rPr>
          <w:rFonts w:ascii="Arial" w:hAnsi="Arial" w:cs="Arial"/>
          <w:lang w:val="en-US"/>
        </w:rPr>
        <w:t>Pearson Educación.</w:t>
      </w:r>
    </w:p>
    <w:p w14:paraId="76DF131B" w14:textId="77777777" w:rsidR="00697810" w:rsidRPr="00D05B70" w:rsidRDefault="00697810" w:rsidP="00D05B70">
      <w:pPr>
        <w:pStyle w:val="NormalWeb"/>
        <w:spacing w:line="480" w:lineRule="auto"/>
        <w:ind w:left="709" w:hanging="709"/>
        <w:rPr>
          <w:rFonts w:ascii="Arial" w:hAnsi="Arial" w:cs="Arial"/>
          <w:lang w:val="en-US"/>
        </w:rPr>
      </w:pPr>
      <w:r w:rsidRPr="00D05B70">
        <w:rPr>
          <w:rStyle w:val="Textoennegrita"/>
          <w:rFonts w:ascii="Arial" w:hAnsi="Arial" w:cs="Arial"/>
          <w:lang w:val="en-US"/>
        </w:rPr>
        <w:t>Michel, S., Bowen, D., &amp; Johnston, R. (2009).</w:t>
      </w:r>
      <w:r w:rsidRPr="00D05B70">
        <w:rPr>
          <w:rFonts w:ascii="Arial" w:hAnsi="Arial" w:cs="Arial"/>
          <w:lang w:val="en-US"/>
        </w:rPr>
        <w:t xml:space="preserve"> Why service recovery fails: Tensions among customer, employee, and organization. </w:t>
      </w:r>
      <w:r w:rsidRPr="00D05B70">
        <w:rPr>
          <w:rStyle w:val="nfasis"/>
          <w:rFonts w:ascii="Arial" w:hAnsi="Arial" w:cs="Arial"/>
          <w:lang w:val="en-US"/>
        </w:rPr>
        <w:t>Journal of Service Management, 20</w:t>
      </w:r>
      <w:r w:rsidRPr="00D05B70">
        <w:rPr>
          <w:rFonts w:ascii="Arial" w:hAnsi="Arial" w:cs="Arial"/>
          <w:lang w:val="en-US"/>
        </w:rPr>
        <w:t xml:space="preserve">(3), 253–273. </w:t>
      </w:r>
      <w:hyperlink r:id="rId8" w:history="1">
        <w:r w:rsidRPr="00D05B70">
          <w:rPr>
            <w:rStyle w:val="Hipervnculo"/>
            <w:rFonts w:ascii="Arial" w:hAnsi="Arial" w:cs="Arial"/>
            <w:lang w:val="en-US"/>
          </w:rPr>
          <w:t>https://doi.org/10.1108/09564230910964381</w:t>
        </w:r>
      </w:hyperlink>
    </w:p>
    <w:p w14:paraId="66ECDFAD" w14:textId="77777777" w:rsidR="00697810" w:rsidRPr="00D05B70" w:rsidRDefault="00697810" w:rsidP="00D05B70">
      <w:pPr>
        <w:pStyle w:val="NormalWeb"/>
        <w:spacing w:line="480" w:lineRule="auto"/>
        <w:ind w:left="709" w:hanging="709"/>
        <w:rPr>
          <w:rFonts w:ascii="Arial" w:hAnsi="Arial" w:cs="Arial"/>
          <w:lang w:val="en-US"/>
        </w:rPr>
      </w:pPr>
      <w:r w:rsidRPr="00D05B70">
        <w:rPr>
          <w:rStyle w:val="Textoennegrita"/>
          <w:rFonts w:ascii="Arial" w:hAnsi="Arial" w:cs="Arial"/>
          <w:lang w:val="en-US"/>
        </w:rPr>
        <w:t>Verhoef, P. C., Kannan, P. K., &amp; Inman, J. J. (2015).</w:t>
      </w:r>
      <w:r w:rsidRPr="00D05B70">
        <w:rPr>
          <w:rFonts w:ascii="Arial" w:hAnsi="Arial" w:cs="Arial"/>
          <w:lang w:val="en-US"/>
        </w:rPr>
        <w:t xml:space="preserve"> From multi-channel retailing to omni-channel retailing: Introduction to the special issue on multi-channel retailing. </w:t>
      </w:r>
      <w:r w:rsidRPr="00D05B70">
        <w:rPr>
          <w:rStyle w:val="nfasis"/>
          <w:rFonts w:ascii="Arial" w:hAnsi="Arial" w:cs="Arial"/>
          <w:lang w:val="en-US"/>
        </w:rPr>
        <w:t>Journal of Retailing, 91</w:t>
      </w:r>
      <w:r w:rsidRPr="00D05B70">
        <w:rPr>
          <w:rFonts w:ascii="Arial" w:hAnsi="Arial" w:cs="Arial"/>
          <w:lang w:val="en-US"/>
        </w:rPr>
        <w:t xml:space="preserve">(2), 174–181. </w:t>
      </w:r>
      <w:hyperlink r:id="rId9" w:history="1">
        <w:r w:rsidRPr="00D05B70">
          <w:rPr>
            <w:rStyle w:val="Hipervnculo"/>
            <w:rFonts w:ascii="Arial" w:hAnsi="Arial" w:cs="Arial"/>
            <w:lang w:val="en-US"/>
          </w:rPr>
          <w:t>https://doi.org/10.1016/j.jretai.2015.02.005</w:t>
        </w:r>
      </w:hyperlink>
    </w:p>
    <w:p w14:paraId="284DED34" w14:textId="77777777" w:rsidR="00697810" w:rsidRPr="00D05B70" w:rsidRDefault="00697810" w:rsidP="00D05B70">
      <w:pPr>
        <w:pStyle w:val="NormalWeb"/>
        <w:spacing w:line="480" w:lineRule="auto"/>
        <w:ind w:left="709" w:hanging="709"/>
        <w:rPr>
          <w:rFonts w:ascii="Arial" w:hAnsi="Arial" w:cs="Arial"/>
        </w:rPr>
      </w:pPr>
      <w:r w:rsidRPr="00D05B70">
        <w:rPr>
          <w:rStyle w:val="Textoennegrita"/>
          <w:rFonts w:ascii="Arial" w:hAnsi="Arial" w:cs="Arial"/>
          <w:lang w:val="en-US"/>
        </w:rPr>
        <w:t>Zeithaml, V. A., Bitner, M. J., &amp; Gremler, D. D. (2018).</w:t>
      </w:r>
      <w:r w:rsidRPr="00D05B70">
        <w:rPr>
          <w:rFonts w:ascii="Arial" w:hAnsi="Arial" w:cs="Arial"/>
          <w:lang w:val="en-US"/>
        </w:rPr>
        <w:t xml:space="preserve"> </w:t>
      </w:r>
      <w:r w:rsidRPr="00D05B70">
        <w:rPr>
          <w:rStyle w:val="nfasis"/>
          <w:rFonts w:ascii="Arial" w:hAnsi="Arial" w:cs="Arial"/>
          <w:lang w:val="en-US"/>
        </w:rPr>
        <w:t>Services marketing: Integrating customer focus across the firm</w:t>
      </w:r>
      <w:r w:rsidRPr="00D05B70">
        <w:rPr>
          <w:rFonts w:ascii="Arial" w:hAnsi="Arial" w:cs="Arial"/>
          <w:lang w:val="en-US"/>
        </w:rPr>
        <w:t xml:space="preserve"> (7th ed.). </w:t>
      </w:r>
      <w:r w:rsidRPr="00D05B70">
        <w:rPr>
          <w:rFonts w:ascii="Arial" w:hAnsi="Arial" w:cs="Arial"/>
        </w:rPr>
        <w:t>McGraw-Hill Education.</w:t>
      </w:r>
    </w:p>
    <w:p w14:paraId="133A7130" w14:textId="77777777" w:rsidR="00697810" w:rsidRPr="00D05B70" w:rsidRDefault="00697810" w:rsidP="00616514">
      <w:pPr>
        <w:jc w:val="center"/>
        <w:rPr>
          <w:rFonts w:ascii="Arial" w:hAnsi="Arial" w:cs="Arial"/>
          <w:b/>
          <w:bCs/>
          <w:sz w:val="24"/>
          <w:szCs w:val="24"/>
        </w:rPr>
      </w:pPr>
    </w:p>
    <w:sectPr w:rsidR="00697810" w:rsidRPr="00D05B70" w:rsidSect="000673C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0AEB8" w14:textId="77777777" w:rsidR="00D86699" w:rsidRDefault="00D86699" w:rsidP="00B642AD">
      <w:pPr>
        <w:spacing w:after="0" w:line="240" w:lineRule="auto"/>
      </w:pPr>
      <w:r>
        <w:separator/>
      </w:r>
    </w:p>
  </w:endnote>
  <w:endnote w:type="continuationSeparator" w:id="0">
    <w:p w14:paraId="48D4A0E8" w14:textId="77777777" w:rsidR="00D86699" w:rsidRDefault="00D86699" w:rsidP="00B6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359020"/>
      <w:docPartObj>
        <w:docPartGallery w:val="Page Numbers (Bottom of Page)"/>
        <w:docPartUnique/>
      </w:docPartObj>
    </w:sdtPr>
    <w:sdtEndPr/>
    <w:sdtContent>
      <w:p w14:paraId="0E9A4AFB" w14:textId="0C271725" w:rsidR="008E7BFD" w:rsidRDefault="008E7BFD">
        <w:pPr>
          <w:pStyle w:val="Piedepgina"/>
          <w:jc w:val="right"/>
        </w:pPr>
        <w:r>
          <w:fldChar w:fldCharType="begin"/>
        </w:r>
        <w:r>
          <w:instrText>PAGE   \* MERGEFORMAT</w:instrText>
        </w:r>
        <w:r>
          <w:fldChar w:fldCharType="separate"/>
        </w:r>
        <w:r w:rsidR="00D05B70" w:rsidRPr="00D05B70">
          <w:rPr>
            <w:noProof/>
            <w:lang w:val="es-ES"/>
          </w:rPr>
          <w:t>2</w:t>
        </w:r>
        <w:r>
          <w:fldChar w:fldCharType="end"/>
        </w:r>
      </w:p>
    </w:sdtContent>
  </w:sdt>
  <w:p w14:paraId="6C4E758C" w14:textId="4E12B771" w:rsidR="00D54E6E" w:rsidRDefault="00D54E6E" w:rsidP="00D54E6E">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2BDDE" w14:textId="77777777" w:rsidR="00D54E6E" w:rsidRDefault="00D54E6E" w:rsidP="00D54E6E">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AFADA" w14:textId="77777777" w:rsidR="00D86699" w:rsidRDefault="00D86699" w:rsidP="00B642AD">
      <w:pPr>
        <w:spacing w:after="0" w:line="240" w:lineRule="auto"/>
      </w:pPr>
      <w:r>
        <w:separator/>
      </w:r>
    </w:p>
  </w:footnote>
  <w:footnote w:type="continuationSeparator" w:id="0">
    <w:p w14:paraId="205C0C77" w14:textId="77777777" w:rsidR="00D86699" w:rsidRDefault="00D86699" w:rsidP="00B64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B4FEE" w14:textId="4A674D72" w:rsidR="00B642AD" w:rsidRDefault="00B642AD" w:rsidP="00DE49C4">
    <w:pPr>
      <w:pStyle w:val="Encabezado"/>
      <w:ind w:left="-284"/>
      <w:rPr>
        <w:sz w:val="24"/>
        <w:szCs w:val="24"/>
      </w:rPr>
    </w:pPr>
    <w:r>
      <w:rPr>
        <w:noProof/>
        <w:lang w:eastAsia="es-MX"/>
      </w:rPr>
      <mc:AlternateContent>
        <mc:Choice Requires="wps">
          <w:drawing>
            <wp:anchor distT="0" distB="0" distL="114300" distR="114300" simplePos="0" relativeHeight="251659264" behindDoc="0" locked="0" layoutInCell="1" allowOverlap="1" wp14:anchorId="7812F8E2" wp14:editId="7474B087">
              <wp:simplePos x="0" y="0"/>
              <wp:positionH relativeFrom="column">
                <wp:posOffset>2740025</wp:posOffset>
              </wp:positionH>
              <wp:positionV relativeFrom="paragraph">
                <wp:posOffset>219929</wp:posOffset>
              </wp:positionV>
              <wp:extent cx="3660763" cy="640663"/>
              <wp:effectExtent l="0" t="0" r="0" b="0"/>
              <wp:wrapNone/>
              <wp:docPr id="4" name="5 CuadroTexto"/>
              <wp:cNvGraphicFramePr/>
              <a:graphic xmlns:a="http://schemas.openxmlformats.org/drawingml/2006/main">
                <a:graphicData uri="http://schemas.microsoft.com/office/word/2010/wordprocessingShape">
                  <wps:wsp>
                    <wps:cNvSpPr txBox="1"/>
                    <wps:spPr>
                      <a:xfrm>
                        <a:off x="0" y="0"/>
                        <a:ext cx="3660763" cy="640663"/>
                      </a:xfrm>
                      <a:prstGeom prst="rect">
                        <a:avLst/>
                      </a:prstGeom>
                      <a:noFill/>
                    </wps:spPr>
                    <wps:txbx>
                      <w:txbxContent>
                        <w:p w14:paraId="5CE2C42C" w14:textId="77777777" w:rsidR="00B642AD" w:rsidRPr="00BC3681" w:rsidRDefault="00B642AD" w:rsidP="00B642AD">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14:paraId="028CBDE1" w14:textId="77777777" w:rsidR="00B642AD" w:rsidRPr="00BC3681" w:rsidRDefault="00B642AD" w:rsidP="00B642AD">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812F8E2" id="_x0000_t202" coordsize="21600,21600" o:spt="202" path="m,l,21600r21600,l21600,xe">
              <v:stroke joinstyle="miter"/>
              <v:path gradientshapeok="t" o:connecttype="rect"/>
            </v:shapetype>
            <v:shape id="5 CuadroTexto" o:spid="_x0000_s1026" type="#_x0000_t202" style="position:absolute;left:0;text-align:left;margin-left:215.75pt;margin-top:17.3pt;width:288.25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" filled="f" stroked="f">
              <v:textbox>
                <w:txbxContent>
                  <w:p w14:paraId="5CE2C42C" w14:textId="77777777" w:rsidR="00B642AD" w:rsidRPr="00BC3681" w:rsidRDefault="00B642AD" w:rsidP="00B642AD">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14:paraId="028CBDE1" w14:textId="77777777" w:rsidR="00B642AD" w:rsidRPr="00BC3681" w:rsidRDefault="00B642AD" w:rsidP="00B642AD">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lang w:eastAsia="es-MX"/>
      </w:rPr>
      <w:drawing>
        <wp:inline distT="0" distB="0" distL="0" distR="0" wp14:anchorId="2E762592" wp14:editId="058C28A9">
          <wp:extent cx="2743200" cy="12101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eastAsiaTheme="majorEastAsia" w:hAnsiTheme="majorHAnsi" w:cstheme="majorBidi"/>
        <w:color w:val="4472C4" w:themeColor="accent1"/>
        <w:sz w:val="24"/>
        <w:szCs w:val="24"/>
      </w:rPr>
      <w:ptab w:relativeTo="margin" w:alignment="right" w:leader="none"/>
    </w:r>
  </w:p>
  <w:p w14:paraId="68015254" w14:textId="77777777" w:rsidR="00B642AD" w:rsidRDefault="00B642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EF5EF" w14:textId="11759187" w:rsidR="001B4512" w:rsidRDefault="001B4512">
    <w:pPr>
      <w:pStyle w:val="Encabezado"/>
      <w:rPr>
        <w:sz w:val="24"/>
        <w:szCs w:val="24"/>
      </w:rPr>
    </w:pPr>
    <w:r>
      <w:rPr>
        <w:noProof/>
        <w:lang w:eastAsia="es-MX"/>
      </w:rPr>
      <mc:AlternateContent>
        <mc:Choice Requires="wps">
          <w:drawing>
            <wp:anchor distT="0" distB="0" distL="114300" distR="114300" simplePos="0" relativeHeight="251661312" behindDoc="0" locked="0" layoutInCell="1" allowOverlap="1" wp14:anchorId="665C996B" wp14:editId="278C3BF9">
              <wp:simplePos x="0" y="0"/>
              <wp:positionH relativeFrom="column">
                <wp:posOffset>3284220</wp:posOffset>
              </wp:positionH>
              <wp:positionV relativeFrom="paragraph">
                <wp:posOffset>28158</wp:posOffset>
              </wp:positionV>
              <wp:extent cx="2950469" cy="879455"/>
              <wp:effectExtent l="0" t="0" r="0" b="0"/>
              <wp:wrapNone/>
              <wp:docPr id="7" name="5 CuadroTexto"/>
              <wp:cNvGraphicFramePr/>
              <a:graphic xmlns:a="http://schemas.openxmlformats.org/drawingml/2006/main">
                <a:graphicData uri="http://schemas.microsoft.com/office/word/2010/wordprocessingShape">
                  <wps:wsp>
                    <wps:cNvSpPr txBox="1"/>
                    <wps:spPr>
                      <a:xfrm>
                        <a:off x="0" y="0"/>
                        <a:ext cx="2950469" cy="879455"/>
                      </a:xfrm>
                      <a:prstGeom prst="rect">
                        <a:avLst/>
                      </a:prstGeom>
                      <a:noFill/>
                    </wps:spPr>
                    <wps:txbx>
                      <w:txbxContent>
                        <w:p w14:paraId="30760B7C" w14:textId="77777777" w:rsidR="001B4512" w:rsidRPr="00BC3681" w:rsidRDefault="001B4512" w:rsidP="001B4512">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14:paraId="3BA3681E" w14:textId="77777777" w:rsidR="001B4512" w:rsidRPr="00BC3681" w:rsidRDefault="001B4512" w:rsidP="001B4512">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65C996B" id="_x0000_t202" coordsize="21600,21600" o:spt="202" path="m,l,21600r21600,l21600,xe">
              <v:stroke joinstyle="miter"/>
              <v:path gradientshapeok="t" o:connecttype="rect"/>
            </v:shapetype>
            <v:shape id="_x0000_s1027" type="#_x0000_t202" style="position:absolute;margin-left:258.6pt;margin-top:2.2pt;width:232.3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" filled="f" stroked="f">
              <v:textbox>
                <w:txbxContent>
                  <w:p w14:paraId="30760B7C" w14:textId="77777777" w:rsidR="001B4512" w:rsidRPr="00BC3681" w:rsidRDefault="001B4512" w:rsidP="001B4512">
                    <w:pPr>
                      <w:jc w:val="center"/>
                      <w:rPr>
                        <w:sz w:val="24"/>
                        <w:szCs w:val="24"/>
                      </w:rPr>
                    </w:pPr>
                    <w:r w:rsidRPr="00BC3681">
                      <w:rPr>
                        <w:rFonts w:ascii="Rockwell" w:hAnsi="Rockwell" w:cs="Arial"/>
                        <w:color w:val="000000" w:themeColor="text1"/>
                        <w:kern w:val="24"/>
                        <w:sz w:val="24"/>
                        <w:szCs w:val="24"/>
                        <w14:shadow w14:blurRad="38100" w14:dist="25400" w14:dir="5400000" w14:sx="100000" w14:sy="100000" w14:kx="0" w14:ky="0" w14:algn="ctr">
                          <w14:srgbClr w14:val="6E747A">
                            <w14:alpha w14:val="57000"/>
                          </w14:srgbClr>
                        </w14:shadow>
                      </w:rPr>
                      <w:t>División de Ciencias Económico Administrativas</w:t>
                    </w:r>
                  </w:p>
                  <w:p w14:paraId="3BA3681E" w14:textId="77777777" w:rsidR="001B4512" w:rsidRPr="00BC3681" w:rsidRDefault="001B4512" w:rsidP="001B4512">
                    <w:pPr>
                      <w:jc w:val="center"/>
                      <w:rPr>
                        <w:sz w:val="24"/>
                        <w:szCs w:val="24"/>
                      </w:rPr>
                    </w:pPr>
                    <w:r w:rsidRPr="00BC3681">
                      <w:rPr>
                        <w:rFonts w:ascii="Rockwell" w:hAnsi="Rockwell"/>
                        <w:color w:val="000000" w:themeColor="text1"/>
                        <w:kern w:val="24"/>
                        <w:sz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lang w:eastAsia="es-MX"/>
      </w:rPr>
      <w:drawing>
        <wp:inline distT="0" distB="0" distL="0" distR="0" wp14:anchorId="11527EAA" wp14:editId="24D209B7">
          <wp:extent cx="2743200" cy="121010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eastAsiaTheme="majorEastAsia" w:hAnsiTheme="majorHAnsi" w:cstheme="majorBidi"/>
        <w:color w:val="4472C4" w:themeColor="accent1"/>
        <w:sz w:val="24"/>
        <w:szCs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05E19"/>
    <w:multiLevelType w:val="hybridMultilevel"/>
    <w:tmpl w:val="637ADE36"/>
    <w:lvl w:ilvl="0" w:tplc="4EF68F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19AE5246"/>
    <w:multiLevelType w:val="hybridMultilevel"/>
    <w:tmpl w:val="927E6E74"/>
    <w:lvl w:ilvl="0" w:tplc="080A0015">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1B472B8A"/>
    <w:multiLevelType w:val="hybridMultilevel"/>
    <w:tmpl w:val="D4B608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B7D3CA2"/>
    <w:multiLevelType w:val="hybridMultilevel"/>
    <w:tmpl w:val="266EB8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AF4680"/>
    <w:multiLevelType w:val="hybridMultilevel"/>
    <w:tmpl w:val="D61469F2"/>
    <w:lvl w:ilvl="0" w:tplc="39AA8932">
      <w:start w:val="1"/>
      <w:numFmt w:val="bullet"/>
      <w:lvlText w:val="-"/>
      <w:lvlJc w:val="left"/>
      <w:pPr>
        <w:ind w:left="1440" w:hanging="360"/>
      </w:pPr>
      <w:rPr>
        <w:rFonts w:ascii="Arial" w:eastAsiaTheme="minorHAnsi"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F39045B"/>
    <w:multiLevelType w:val="hybridMultilevel"/>
    <w:tmpl w:val="FBC68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FE10812"/>
    <w:multiLevelType w:val="hybridMultilevel"/>
    <w:tmpl w:val="C0528154"/>
    <w:lvl w:ilvl="0" w:tplc="0900AA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31FD7C0C"/>
    <w:multiLevelType w:val="hybridMultilevel"/>
    <w:tmpl w:val="190AD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37B1832"/>
    <w:multiLevelType w:val="hybridMultilevel"/>
    <w:tmpl w:val="AA9EF0DE"/>
    <w:lvl w:ilvl="0" w:tplc="18606C6A">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F565A03"/>
    <w:multiLevelType w:val="hybridMultilevel"/>
    <w:tmpl w:val="8A9CE9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1AD1BB8"/>
    <w:multiLevelType w:val="hybridMultilevel"/>
    <w:tmpl w:val="8864CEFE"/>
    <w:lvl w:ilvl="0" w:tplc="03B452A8">
      <w:start w:val="1"/>
      <w:numFmt w:val="lowerLetter"/>
      <w:lvlText w:val="%1)"/>
      <w:lvlJc w:val="left"/>
      <w:pPr>
        <w:ind w:left="0" w:firstLine="360"/>
      </w:pPr>
      <w:rPr>
        <w:rFonts w:ascii="Arial" w:eastAsiaTheme="minorHAnsi"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0294FA7"/>
    <w:multiLevelType w:val="hybridMultilevel"/>
    <w:tmpl w:val="17989E0A"/>
    <w:lvl w:ilvl="0" w:tplc="B7B89D4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63F87E99"/>
    <w:multiLevelType w:val="hybridMultilevel"/>
    <w:tmpl w:val="F5F68B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8"/>
  </w:num>
  <w:num w:numId="5">
    <w:abstractNumId w:val="3"/>
  </w:num>
  <w:num w:numId="6">
    <w:abstractNumId w:val="0"/>
  </w:num>
  <w:num w:numId="7">
    <w:abstractNumId w:val="4"/>
  </w:num>
  <w:num w:numId="8">
    <w:abstractNumId w:val="6"/>
  </w:num>
  <w:num w:numId="9">
    <w:abstractNumId w:val="1"/>
  </w:num>
  <w:num w:numId="10">
    <w:abstractNumId w:val="12"/>
  </w:num>
  <w:num w:numId="11">
    <w:abstractNumId w:val="1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57A"/>
    <w:rsid w:val="00010946"/>
    <w:rsid w:val="00014A93"/>
    <w:rsid w:val="00027883"/>
    <w:rsid w:val="00057071"/>
    <w:rsid w:val="000673C8"/>
    <w:rsid w:val="000A71E6"/>
    <w:rsid w:val="000C6540"/>
    <w:rsid w:val="000D093A"/>
    <w:rsid w:val="000E753A"/>
    <w:rsid w:val="0010187F"/>
    <w:rsid w:val="00114B26"/>
    <w:rsid w:val="001B4512"/>
    <w:rsid w:val="001E6B77"/>
    <w:rsid w:val="00231EDC"/>
    <w:rsid w:val="00252929"/>
    <w:rsid w:val="002961A8"/>
    <w:rsid w:val="002E0168"/>
    <w:rsid w:val="002F291F"/>
    <w:rsid w:val="00307B15"/>
    <w:rsid w:val="003A3165"/>
    <w:rsid w:val="003D31E3"/>
    <w:rsid w:val="003D716B"/>
    <w:rsid w:val="003E7653"/>
    <w:rsid w:val="003F56CE"/>
    <w:rsid w:val="004278A3"/>
    <w:rsid w:val="00444A23"/>
    <w:rsid w:val="00475C10"/>
    <w:rsid w:val="00536FA0"/>
    <w:rsid w:val="00554618"/>
    <w:rsid w:val="00566D5C"/>
    <w:rsid w:val="005A76C3"/>
    <w:rsid w:val="005C67E5"/>
    <w:rsid w:val="00607221"/>
    <w:rsid w:val="0061192D"/>
    <w:rsid w:val="00616514"/>
    <w:rsid w:val="00626A03"/>
    <w:rsid w:val="00682A58"/>
    <w:rsid w:val="00697810"/>
    <w:rsid w:val="006D070B"/>
    <w:rsid w:val="006D4AA1"/>
    <w:rsid w:val="006F557A"/>
    <w:rsid w:val="00730927"/>
    <w:rsid w:val="007564E4"/>
    <w:rsid w:val="0075727C"/>
    <w:rsid w:val="00795C02"/>
    <w:rsid w:val="00833D0A"/>
    <w:rsid w:val="00857BC5"/>
    <w:rsid w:val="008668D4"/>
    <w:rsid w:val="00877A97"/>
    <w:rsid w:val="008B73D5"/>
    <w:rsid w:val="008B7EE7"/>
    <w:rsid w:val="008E7BFD"/>
    <w:rsid w:val="0093786B"/>
    <w:rsid w:val="00A11CD2"/>
    <w:rsid w:val="00A52073"/>
    <w:rsid w:val="00A64E9F"/>
    <w:rsid w:val="00A65120"/>
    <w:rsid w:val="00A87B52"/>
    <w:rsid w:val="00AA3833"/>
    <w:rsid w:val="00B03A9A"/>
    <w:rsid w:val="00B642AD"/>
    <w:rsid w:val="00BC3681"/>
    <w:rsid w:val="00BD602A"/>
    <w:rsid w:val="00BE56B0"/>
    <w:rsid w:val="00BF4336"/>
    <w:rsid w:val="00BF7ECB"/>
    <w:rsid w:val="00C41F5D"/>
    <w:rsid w:val="00C526F3"/>
    <w:rsid w:val="00C74D2B"/>
    <w:rsid w:val="00CC7E05"/>
    <w:rsid w:val="00CD5328"/>
    <w:rsid w:val="00CE7485"/>
    <w:rsid w:val="00CE7FBA"/>
    <w:rsid w:val="00D05B70"/>
    <w:rsid w:val="00D54E6E"/>
    <w:rsid w:val="00D6509D"/>
    <w:rsid w:val="00D86699"/>
    <w:rsid w:val="00DA3267"/>
    <w:rsid w:val="00DE49C4"/>
    <w:rsid w:val="00E63476"/>
    <w:rsid w:val="00E7482B"/>
    <w:rsid w:val="00E74FF9"/>
    <w:rsid w:val="00E85651"/>
    <w:rsid w:val="00EA7F86"/>
    <w:rsid w:val="00F039D4"/>
    <w:rsid w:val="00F26C84"/>
    <w:rsid w:val="00F44FA6"/>
    <w:rsid w:val="00F628E3"/>
    <w:rsid w:val="00FB44F6"/>
    <w:rsid w:val="00FC46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DF2A8"/>
  <w15:chartTrackingRefBased/>
  <w15:docId w15:val="{3910E8A7-C44A-4247-93CE-9C093E91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E7B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7B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5C67E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42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42AD"/>
  </w:style>
  <w:style w:type="paragraph" w:styleId="Piedepgina">
    <w:name w:val="footer"/>
    <w:basedOn w:val="Normal"/>
    <w:link w:val="PiedepginaCar"/>
    <w:uiPriority w:val="99"/>
    <w:unhideWhenUsed/>
    <w:rsid w:val="00B642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42AD"/>
  </w:style>
  <w:style w:type="paragraph" w:styleId="Prrafodelista">
    <w:name w:val="List Paragraph"/>
    <w:basedOn w:val="Normal"/>
    <w:uiPriority w:val="34"/>
    <w:qFormat/>
    <w:rsid w:val="00BE56B0"/>
    <w:pPr>
      <w:ind w:left="720"/>
      <w:contextualSpacing/>
    </w:pPr>
  </w:style>
  <w:style w:type="character" w:styleId="Hipervnculo">
    <w:name w:val="Hyperlink"/>
    <w:basedOn w:val="Fuentedeprrafopredeter"/>
    <w:uiPriority w:val="99"/>
    <w:unhideWhenUsed/>
    <w:rsid w:val="00444A23"/>
    <w:rPr>
      <w:color w:val="0000FF"/>
      <w:u w:val="single"/>
    </w:rPr>
  </w:style>
  <w:style w:type="paragraph" w:styleId="NormalWeb">
    <w:name w:val="Normal (Web)"/>
    <w:basedOn w:val="Normal"/>
    <w:uiPriority w:val="99"/>
    <w:unhideWhenUsed/>
    <w:rsid w:val="00B03A9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03A9A"/>
    <w:rPr>
      <w:b/>
      <w:bCs/>
    </w:rPr>
  </w:style>
  <w:style w:type="character" w:styleId="nfasis">
    <w:name w:val="Emphasis"/>
    <w:basedOn w:val="Fuentedeprrafopredeter"/>
    <w:uiPriority w:val="20"/>
    <w:qFormat/>
    <w:rsid w:val="00B03A9A"/>
    <w:rPr>
      <w:i/>
      <w:iCs/>
    </w:rPr>
  </w:style>
  <w:style w:type="character" w:customStyle="1" w:styleId="Ttulo3Car">
    <w:name w:val="Título 3 Car"/>
    <w:basedOn w:val="Fuentedeprrafopredeter"/>
    <w:link w:val="Ttulo3"/>
    <w:uiPriority w:val="9"/>
    <w:rsid w:val="005C67E5"/>
    <w:rPr>
      <w:rFonts w:ascii="Times New Roman" w:eastAsia="Times New Roman" w:hAnsi="Times New Roman" w:cs="Times New Roman"/>
      <w:b/>
      <w:bCs/>
      <w:sz w:val="27"/>
      <w:szCs w:val="27"/>
      <w:lang w:eastAsia="es-MX"/>
    </w:rPr>
  </w:style>
  <w:style w:type="character" w:customStyle="1" w:styleId="Ttulo1Car">
    <w:name w:val="Título 1 Car"/>
    <w:basedOn w:val="Fuentedeprrafopredeter"/>
    <w:link w:val="Ttulo1"/>
    <w:uiPriority w:val="9"/>
    <w:rsid w:val="008E7BFD"/>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8E7BFD"/>
    <w:pPr>
      <w:outlineLvl w:val="9"/>
    </w:pPr>
    <w:rPr>
      <w:lang w:eastAsia="es-MX"/>
    </w:rPr>
  </w:style>
  <w:style w:type="paragraph" w:styleId="TDC3">
    <w:name w:val="toc 3"/>
    <w:basedOn w:val="Normal"/>
    <w:next w:val="Normal"/>
    <w:autoRedefine/>
    <w:uiPriority w:val="39"/>
    <w:unhideWhenUsed/>
    <w:rsid w:val="008E7BFD"/>
    <w:pPr>
      <w:spacing w:after="100"/>
      <w:ind w:left="440"/>
    </w:pPr>
  </w:style>
  <w:style w:type="character" w:customStyle="1" w:styleId="Ttulo2Car">
    <w:name w:val="Título 2 Car"/>
    <w:basedOn w:val="Fuentedeprrafopredeter"/>
    <w:link w:val="Ttulo2"/>
    <w:uiPriority w:val="9"/>
    <w:rsid w:val="008E7BFD"/>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8E7BFD"/>
    <w:pPr>
      <w:spacing w:after="100"/>
      <w:ind w:left="220"/>
    </w:pPr>
    <w:rPr>
      <w:rFonts w:eastAsiaTheme="minorEastAsia" w:cs="Times New Roman"/>
      <w:lang w:eastAsia="es-MX"/>
    </w:rPr>
  </w:style>
  <w:style w:type="paragraph" w:styleId="TDC1">
    <w:name w:val="toc 1"/>
    <w:basedOn w:val="Normal"/>
    <w:next w:val="Normal"/>
    <w:autoRedefine/>
    <w:uiPriority w:val="39"/>
    <w:unhideWhenUsed/>
    <w:rsid w:val="008E7BFD"/>
    <w:pPr>
      <w:spacing w:after="100"/>
    </w:pPr>
    <w:rPr>
      <w:rFonts w:eastAsiaTheme="minorEastAsia"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9751">
      <w:bodyDiv w:val="1"/>
      <w:marLeft w:val="0"/>
      <w:marRight w:val="0"/>
      <w:marTop w:val="0"/>
      <w:marBottom w:val="0"/>
      <w:divBdr>
        <w:top w:val="none" w:sz="0" w:space="0" w:color="auto"/>
        <w:left w:val="none" w:sz="0" w:space="0" w:color="auto"/>
        <w:bottom w:val="none" w:sz="0" w:space="0" w:color="auto"/>
        <w:right w:val="none" w:sz="0" w:space="0" w:color="auto"/>
      </w:divBdr>
    </w:div>
    <w:div w:id="254098047">
      <w:bodyDiv w:val="1"/>
      <w:marLeft w:val="0"/>
      <w:marRight w:val="0"/>
      <w:marTop w:val="0"/>
      <w:marBottom w:val="0"/>
      <w:divBdr>
        <w:top w:val="none" w:sz="0" w:space="0" w:color="auto"/>
        <w:left w:val="none" w:sz="0" w:space="0" w:color="auto"/>
        <w:bottom w:val="none" w:sz="0" w:space="0" w:color="auto"/>
        <w:right w:val="none" w:sz="0" w:space="0" w:color="auto"/>
      </w:divBdr>
    </w:div>
    <w:div w:id="581524850">
      <w:bodyDiv w:val="1"/>
      <w:marLeft w:val="0"/>
      <w:marRight w:val="0"/>
      <w:marTop w:val="0"/>
      <w:marBottom w:val="0"/>
      <w:divBdr>
        <w:top w:val="none" w:sz="0" w:space="0" w:color="auto"/>
        <w:left w:val="none" w:sz="0" w:space="0" w:color="auto"/>
        <w:bottom w:val="none" w:sz="0" w:space="0" w:color="auto"/>
        <w:right w:val="none" w:sz="0" w:space="0" w:color="auto"/>
      </w:divBdr>
    </w:div>
    <w:div w:id="624583086">
      <w:bodyDiv w:val="1"/>
      <w:marLeft w:val="0"/>
      <w:marRight w:val="0"/>
      <w:marTop w:val="0"/>
      <w:marBottom w:val="0"/>
      <w:divBdr>
        <w:top w:val="none" w:sz="0" w:space="0" w:color="auto"/>
        <w:left w:val="none" w:sz="0" w:space="0" w:color="auto"/>
        <w:bottom w:val="none" w:sz="0" w:space="0" w:color="auto"/>
        <w:right w:val="none" w:sz="0" w:space="0" w:color="auto"/>
      </w:divBdr>
    </w:div>
    <w:div w:id="853690325">
      <w:bodyDiv w:val="1"/>
      <w:marLeft w:val="0"/>
      <w:marRight w:val="0"/>
      <w:marTop w:val="0"/>
      <w:marBottom w:val="0"/>
      <w:divBdr>
        <w:top w:val="none" w:sz="0" w:space="0" w:color="auto"/>
        <w:left w:val="none" w:sz="0" w:space="0" w:color="auto"/>
        <w:bottom w:val="none" w:sz="0" w:space="0" w:color="auto"/>
        <w:right w:val="none" w:sz="0" w:space="0" w:color="auto"/>
      </w:divBdr>
    </w:div>
    <w:div w:id="990912541">
      <w:bodyDiv w:val="1"/>
      <w:marLeft w:val="0"/>
      <w:marRight w:val="0"/>
      <w:marTop w:val="0"/>
      <w:marBottom w:val="0"/>
      <w:divBdr>
        <w:top w:val="none" w:sz="0" w:space="0" w:color="auto"/>
        <w:left w:val="none" w:sz="0" w:space="0" w:color="auto"/>
        <w:bottom w:val="none" w:sz="0" w:space="0" w:color="auto"/>
        <w:right w:val="none" w:sz="0" w:space="0" w:color="auto"/>
      </w:divBdr>
    </w:div>
    <w:div w:id="1242717344">
      <w:bodyDiv w:val="1"/>
      <w:marLeft w:val="0"/>
      <w:marRight w:val="0"/>
      <w:marTop w:val="0"/>
      <w:marBottom w:val="0"/>
      <w:divBdr>
        <w:top w:val="none" w:sz="0" w:space="0" w:color="auto"/>
        <w:left w:val="none" w:sz="0" w:space="0" w:color="auto"/>
        <w:bottom w:val="none" w:sz="0" w:space="0" w:color="auto"/>
        <w:right w:val="none" w:sz="0" w:space="0" w:color="auto"/>
      </w:divBdr>
    </w:div>
    <w:div w:id="1596747429">
      <w:bodyDiv w:val="1"/>
      <w:marLeft w:val="0"/>
      <w:marRight w:val="0"/>
      <w:marTop w:val="0"/>
      <w:marBottom w:val="0"/>
      <w:divBdr>
        <w:top w:val="none" w:sz="0" w:space="0" w:color="auto"/>
        <w:left w:val="none" w:sz="0" w:space="0" w:color="auto"/>
        <w:bottom w:val="none" w:sz="0" w:space="0" w:color="auto"/>
        <w:right w:val="none" w:sz="0" w:space="0" w:color="auto"/>
      </w:divBdr>
    </w:div>
    <w:div w:id="1647271974">
      <w:bodyDiv w:val="1"/>
      <w:marLeft w:val="0"/>
      <w:marRight w:val="0"/>
      <w:marTop w:val="0"/>
      <w:marBottom w:val="0"/>
      <w:divBdr>
        <w:top w:val="none" w:sz="0" w:space="0" w:color="auto"/>
        <w:left w:val="none" w:sz="0" w:space="0" w:color="auto"/>
        <w:bottom w:val="none" w:sz="0" w:space="0" w:color="auto"/>
        <w:right w:val="none" w:sz="0" w:space="0" w:color="auto"/>
      </w:divBdr>
    </w:div>
    <w:div w:id="1738748705">
      <w:bodyDiv w:val="1"/>
      <w:marLeft w:val="0"/>
      <w:marRight w:val="0"/>
      <w:marTop w:val="0"/>
      <w:marBottom w:val="0"/>
      <w:divBdr>
        <w:top w:val="none" w:sz="0" w:space="0" w:color="auto"/>
        <w:left w:val="none" w:sz="0" w:space="0" w:color="auto"/>
        <w:bottom w:val="none" w:sz="0" w:space="0" w:color="auto"/>
        <w:right w:val="none" w:sz="0" w:space="0" w:color="auto"/>
      </w:divBdr>
    </w:div>
    <w:div w:id="183075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95642309109643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jretai.2015.02.00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E58FB-0FA8-4C03-8036-A47C0CC7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16</Pages>
  <Words>2274</Words>
  <Characters>12511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Personal</cp:lastModifiedBy>
  <cp:revision>66</cp:revision>
  <cp:lastPrinted>2023-05-09T12:36:00Z</cp:lastPrinted>
  <dcterms:created xsi:type="dcterms:W3CDTF">2020-08-15T21:26:00Z</dcterms:created>
  <dcterms:modified xsi:type="dcterms:W3CDTF">2025-11-21T03:57:00Z</dcterms:modified>
</cp:coreProperties>
</file>